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ADFB" w14:textId="0A5DE60D" w:rsidR="00087774" w:rsidRPr="00396C0A" w:rsidRDefault="00073117" w:rsidP="00087774">
      <w:pPr>
        <w:pStyle w:val="paragraph"/>
        <w:spacing w:before="0" w:beforeAutospacing="0" w:after="0" w:afterAutospacing="0"/>
        <w:textAlignment w:val="baseline"/>
        <w:rPr>
          <w:rFonts w:ascii="Fira Sans SemiBold" w:hAnsi="Fira Sans SemiBold" w:cs="Segoe UI"/>
          <w:b/>
          <w:bCs/>
          <w:color w:val="225473"/>
          <w:sz w:val="18"/>
          <w:szCs w:val="18"/>
        </w:rPr>
      </w:pPr>
      <w:r>
        <w:rPr>
          <w:rStyle w:val="normaltextrun"/>
          <w:rFonts w:ascii="Fira Sans SemiBold" w:hAnsi="Fira Sans SemiBold" w:cs="Calibri"/>
          <w:b/>
          <w:bCs/>
          <w:color w:val="225473"/>
          <w:sz w:val="44"/>
          <w:szCs w:val="44"/>
          <w:lang w:val="en-GB"/>
        </w:rPr>
        <w:t>Screening for breast cancer</w:t>
      </w:r>
    </w:p>
    <w:p w14:paraId="1DE23E73" w14:textId="45D4638A" w:rsidR="00D9147D" w:rsidRDefault="00285491" w:rsidP="000D482A">
      <w:r>
        <w:t xml:space="preserve">This </w:t>
      </w:r>
      <w:r w:rsidR="007D09C1">
        <w:t>position statement</w:t>
      </w:r>
      <w:r>
        <w:t xml:space="preserve"> </w:t>
      </w:r>
      <w:r w:rsidR="00E22789">
        <w:t>aims to ensure</w:t>
      </w:r>
      <w:r w:rsidR="00DD5611">
        <w:t xml:space="preserve"> a </w:t>
      </w:r>
      <w:r w:rsidR="00E22789">
        <w:t xml:space="preserve">state-wide </w:t>
      </w:r>
      <w:r w:rsidR="00CA3A39">
        <w:t>consistent</w:t>
      </w:r>
      <w:r w:rsidR="00DD5611">
        <w:t xml:space="preserve"> approach</w:t>
      </w:r>
      <w:r w:rsidR="00E22789">
        <w:t xml:space="preserve"> to breast cancer screening</w:t>
      </w:r>
      <w:r w:rsidR="00DD5611">
        <w:t xml:space="preserve">, </w:t>
      </w:r>
      <w:r w:rsidR="00E22789">
        <w:t xml:space="preserve">to </w:t>
      </w:r>
      <w:r w:rsidR="00DD5611">
        <w:t>increase program participation</w:t>
      </w:r>
      <w:r w:rsidR="00E22789">
        <w:t xml:space="preserve"> with </w:t>
      </w:r>
      <w:proofErr w:type="spellStart"/>
      <w:r w:rsidR="00E22789">
        <w:t>BreastScreen</w:t>
      </w:r>
      <w:proofErr w:type="spellEnd"/>
      <w:r w:rsidR="00DD5611">
        <w:t xml:space="preserve">, </w:t>
      </w:r>
      <w:r w:rsidR="00E22789">
        <w:t xml:space="preserve">to </w:t>
      </w:r>
      <w:r w:rsidR="00DD5611">
        <w:t xml:space="preserve">improve the participant </w:t>
      </w:r>
      <w:r w:rsidR="00CA3A39">
        <w:t>experience,</w:t>
      </w:r>
      <w:r w:rsidR="00DD5611">
        <w:t xml:space="preserve"> and </w:t>
      </w:r>
      <w:r w:rsidR="00E22789">
        <w:t xml:space="preserve">support health equity in access to and outcomes from breast cancer screening </w:t>
      </w:r>
      <w:proofErr w:type="gramStart"/>
      <w:r w:rsidR="00E22789">
        <w:t>with regard to</w:t>
      </w:r>
      <w:proofErr w:type="gramEnd"/>
      <w:r w:rsidR="00E22789">
        <w:t xml:space="preserve"> Aboriginal and/or Torres Strait Islander women</w:t>
      </w:r>
      <w:r w:rsidR="00DD5611">
        <w:t>.</w:t>
      </w:r>
    </w:p>
    <w:p w14:paraId="05D06D96" w14:textId="0C43C560" w:rsidR="004E4D87" w:rsidRDefault="00A32424" w:rsidP="004E4D87">
      <w:r>
        <w:t xml:space="preserve">This </w:t>
      </w:r>
      <w:r w:rsidR="000D6990">
        <w:t>s</w:t>
      </w:r>
      <w:r w:rsidR="00E22789">
        <w:t>tatement outlines the following considerations:</w:t>
      </w:r>
      <w:r w:rsidR="00E22789" w:rsidRPr="001B0892">
        <w:t xml:space="preserve"> </w:t>
      </w:r>
    </w:p>
    <w:p w14:paraId="26258DE8" w14:textId="793F208B" w:rsidR="00B338C4" w:rsidRPr="001B0892" w:rsidRDefault="00E22789" w:rsidP="004E4D87">
      <w:pPr>
        <w:pStyle w:val="ListParagraph"/>
        <w:numPr>
          <w:ilvl w:val="0"/>
          <w:numId w:val="25"/>
        </w:numPr>
      </w:pPr>
      <w:r>
        <w:t>The c</w:t>
      </w:r>
      <w:r w:rsidR="00BD35D3" w:rsidRPr="001B0892">
        <w:t xml:space="preserve">ontext of </w:t>
      </w:r>
      <w:r w:rsidR="001B0892" w:rsidRPr="001B0892">
        <w:t>breast cancer screening for Aboriginal and Torres Strait Islander women</w:t>
      </w:r>
      <w:r w:rsidR="00DE31D2">
        <w:t xml:space="preserve"> and people</w:t>
      </w:r>
    </w:p>
    <w:p w14:paraId="4CE309D7" w14:textId="0A36B21E" w:rsidR="00BD35D3" w:rsidRPr="001B0892" w:rsidRDefault="001B0892" w:rsidP="000D482A">
      <w:pPr>
        <w:pStyle w:val="ListParagraph"/>
        <w:numPr>
          <w:ilvl w:val="0"/>
          <w:numId w:val="25"/>
        </w:numPr>
      </w:pPr>
      <w:r w:rsidRPr="001B0892">
        <w:t xml:space="preserve">Opportunities </w:t>
      </w:r>
      <w:r w:rsidR="00E22789">
        <w:t xml:space="preserve">to enhance Australia’s </w:t>
      </w:r>
      <w:r w:rsidR="00CA3A39">
        <w:t>breast cancer screening program</w:t>
      </w:r>
    </w:p>
    <w:p w14:paraId="238C3250" w14:textId="53D4B9B5" w:rsidR="00BD35D3" w:rsidRPr="001B0892" w:rsidRDefault="001B0892" w:rsidP="000D482A">
      <w:pPr>
        <w:pStyle w:val="ListParagraph"/>
        <w:numPr>
          <w:ilvl w:val="0"/>
          <w:numId w:val="25"/>
        </w:numPr>
      </w:pPr>
      <w:r w:rsidRPr="001B0892">
        <w:t>Risks</w:t>
      </w:r>
      <w:r w:rsidR="001D2351">
        <w:t xml:space="preserve"> associated with </w:t>
      </w:r>
      <w:r w:rsidR="00E22789">
        <w:t xml:space="preserve">the </w:t>
      </w:r>
      <w:r w:rsidR="001D2351">
        <w:t>breast cancer screening program</w:t>
      </w:r>
      <w:r w:rsidRPr="001B0892">
        <w:t>; and</w:t>
      </w:r>
    </w:p>
    <w:p w14:paraId="6DB5C640" w14:textId="71E42BF8" w:rsidR="00BD35D3" w:rsidRPr="001B0892" w:rsidRDefault="001B0892" w:rsidP="000D482A">
      <w:pPr>
        <w:pStyle w:val="ListParagraph"/>
        <w:numPr>
          <w:ilvl w:val="0"/>
          <w:numId w:val="25"/>
        </w:numPr>
      </w:pPr>
      <w:r w:rsidRPr="001B0892">
        <w:t>Recommendations</w:t>
      </w:r>
      <w:r w:rsidR="00E22789">
        <w:t xml:space="preserve"> towards health equity in breast cancer screening of Aboriginal and/or Torres Strait Islander women.</w:t>
      </w:r>
    </w:p>
    <w:p w14:paraId="2CEE9E00" w14:textId="3555BBAA" w:rsidR="00BD35D3" w:rsidRDefault="00FC3268" w:rsidP="00FC3268">
      <w:pPr>
        <w:pStyle w:val="Heading1"/>
      </w:pPr>
      <w:r>
        <w:t>Context</w:t>
      </w:r>
    </w:p>
    <w:p w14:paraId="59EA5B50" w14:textId="7EBFFCE8" w:rsidR="0091607E" w:rsidRDefault="0091607E" w:rsidP="00001A4B">
      <w:r>
        <w:t>T</w:t>
      </w:r>
      <w:r w:rsidR="00001A4B" w:rsidRPr="00001A4B">
        <w:t xml:space="preserve">he mortality rate </w:t>
      </w:r>
      <w:r>
        <w:t>from breast</w:t>
      </w:r>
      <w:r w:rsidR="00FF709B">
        <w:t xml:space="preserve"> </w:t>
      </w:r>
      <w:r>
        <w:t xml:space="preserve">cancer </w:t>
      </w:r>
      <w:r w:rsidR="00001A4B" w:rsidRPr="00001A4B">
        <w:t>for Aboriginal</w:t>
      </w:r>
      <w:r>
        <w:t xml:space="preserve"> and/or Torres Strait Islander</w:t>
      </w:r>
      <w:r w:rsidR="00001A4B" w:rsidRPr="00001A4B">
        <w:t xml:space="preserve"> women is higher</w:t>
      </w:r>
      <w:r w:rsidRPr="0091607E">
        <w:t xml:space="preserve"> </w:t>
      </w:r>
      <w:r w:rsidRPr="00001A4B">
        <w:t>than non-Aboriginal women</w:t>
      </w:r>
      <w:r w:rsidR="00001A4B" w:rsidRPr="00001A4B">
        <w:t>, with Aboriginal women 1.2 times more likely to die from the disease.</w:t>
      </w:r>
      <w:r w:rsidR="00001A4B" w:rsidRPr="00001A4B">
        <w:rPr>
          <w:vertAlign w:val="superscript"/>
        </w:rPr>
        <w:footnoteReference w:id="1"/>
      </w:r>
      <w:r w:rsidR="00001A4B" w:rsidRPr="00001A4B">
        <w:t xml:space="preserve"> Preventable causes related to delayed diagnosis and treatment are substantial contributors, with only two in five </w:t>
      </w:r>
      <w:r w:rsidR="005D0A08">
        <w:t xml:space="preserve">Aboriginal and Torres Strait Islander </w:t>
      </w:r>
      <w:r w:rsidR="00001A4B" w:rsidRPr="00001A4B">
        <w:t xml:space="preserve">women participating in the </w:t>
      </w:r>
      <w:proofErr w:type="spellStart"/>
      <w:r w:rsidR="00001A4B" w:rsidRPr="00001A4B">
        <w:t>BreastScreen</w:t>
      </w:r>
      <w:proofErr w:type="spellEnd"/>
      <w:r w:rsidR="00001A4B" w:rsidRPr="00001A4B">
        <w:t xml:space="preserve"> Australia program.</w:t>
      </w:r>
      <w:r w:rsidR="00001A4B" w:rsidRPr="00001A4B">
        <w:rPr>
          <w:vertAlign w:val="superscript"/>
        </w:rPr>
        <w:t>1</w:t>
      </w:r>
      <w:r w:rsidR="00001A4B" w:rsidRPr="00001A4B">
        <w:t xml:space="preserve"> </w:t>
      </w:r>
      <w:r>
        <w:t xml:space="preserve">This may explain why </w:t>
      </w:r>
      <w:r w:rsidRPr="00001A4B">
        <w:t>the incidence of breast cancer is lower in Aboriginal women</w:t>
      </w:r>
      <w:r>
        <w:t xml:space="preserve"> compared with non-Indigenous women.</w:t>
      </w:r>
      <w:r w:rsidR="00FF709B">
        <w:rPr>
          <w:vertAlign w:val="superscript"/>
        </w:rPr>
        <w:t>1</w:t>
      </w:r>
      <w:r w:rsidRPr="00001A4B">
        <w:t xml:space="preserve"> </w:t>
      </w:r>
    </w:p>
    <w:p w14:paraId="2E7406A8" w14:textId="3D5C06DC" w:rsidR="00001A4B" w:rsidRPr="00001A4B" w:rsidRDefault="00001A4B" w:rsidP="00001A4B">
      <w:pPr>
        <w:rPr>
          <w:vertAlign w:val="superscript"/>
        </w:rPr>
      </w:pPr>
      <w:r w:rsidRPr="00001A4B">
        <w:t>Aboriginal and Torres Strait Islander women are also more likely to be diagnosed with breast cancer at a younger age, and significantly more likely to reside in socioeconomically disadvantaged or geographically remote areas</w:t>
      </w:r>
      <w:r w:rsidR="0091607E">
        <w:t xml:space="preserve"> than other Australian women</w:t>
      </w:r>
      <w:r w:rsidRPr="00001A4B">
        <w:t>.</w:t>
      </w:r>
      <w:r w:rsidRPr="00001A4B">
        <w:rPr>
          <w:vertAlign w:val="superscript"/>
        </w:rPr>
        <w:footnoteReference w:id="2"/>
      </w:r>
      <w:r w:rsidRPr="00001A4B">
        <w:t xml:space="preserve"> </w:t>
      </w:r>
      <w:r w:rsidRPr="00F71FA1">
        <w:rPr>
          <w:i/>
          <w:iCs/>
        </w:rPr>
        <w:t xml:space="preserve">The </w:t>
      </w:r>
      <w:proofErr w:type="spellStart"/>
      <w:r w:rsidRPr="00F71FA1">
        <w:rPr>
          <w:i/>
          <w:iCs/>
        </w:rPr>
        <w:t>BreastScreen</w:t>
      </w:r>
      <w:proofErr w:type="spellEnd"/>
      <w:r w:rsidRPr="00F71FA1">
        <w:rPr>
          <w:i/>
          <w:iCs/>
        </w:rPr>
        <w:t xml:space="preserve"> Australia monitoring report</w:t>
      </w:r>
      <w:r w:rsidRPr="00001A4B">
        <w:t xml:space="preserve"> </w:t>
      </w:r>
      <w:r w:rsidR="00CB593A" w:rsidRPr="009164E5">
        <w:rPr>
          <w:i/>
          <w:iCs/>
        </w:rPr>
        <w:t>2023</w:t>
      </w:r>
      <w:r w:rsidR="00CB593A" w:rsidRPr="00001A4B">
        <w:t xml:space="preserve"> </w:t>
      </w:r>
      <w:r w:rsidRPr="00001A4B">
        <w:t xml:space="preserve">discussed decreased opportunities to screen for </w:t>
      </w:r>
      <w:r w:rsidR="00C47414">
        <w:t xml:space="preserve">Aboriginal and Torres Strait </w:t>
      </w:r>
      <w:r w:rsidR="005D0A08">
        <w:t>Islander</w:t>
      </w:r>
      <w:r w:rsidRPr="00001A4B">
        <w:t xml:space="preserve"> women being the likely cause behind the lower participation rates, as well as a level of under-reporting of Indigenous status.</w:t>
      </w:r>
      <w:r w:rsidRPr="00001A4B">
        <w:rPr>
          <w:vertAlign w:val="superscript"/>
        </w:rPr>
        <w:t>1</w:t>
      </w:r>
    </w:p>
    <w:p w14:paraId="0C4C9B8C" w14:textId="092E60F1" w:rsidR="00AA2110" w:rsidRDefault="00AA2110" w:rsidP="00AA2110">
      <w:r w:rsidRPr="00AA2110">
        <w:t xml:space="preserve">A 2018 AIHW report found that breast cancers detected through </w:t>
      </w:r>
      <w:proofErr w:type="spellStart"/>
      <w:r w:rsidRPr="00AA2110">
        <w:t>BreastScreen</w:t>
      </w:r>
      <w:proofErr w:type="spellEnd"/>
      <w:r w:rsidRPr="00AA2110">
        <w:t xml:space="preserve"> Australia had a 54-63% lower risk of causing death than breast cancers diagnosed in women who had never screened through </w:t>
      </w:r>
      <w:proofErr w:type="spellStart"/>
      <w:r w:rsidRPr="00AA2110">
        <w:t>BreastScreen</w:t>
      </w:r>
      <w:proofErr w:type="spellEnd"/>
      <w:r w:rsidRPr="00AA2110">
        <w:t xml:space="preserve"> Australia</w:t>
      </w:r>
      <w:r w:rsidRPr="00AA2110">
        <w:rPr>
          <w:vertAlign w:val="superscript"/>
        </w:rPr>
        <w:footnoteReference w:id="3"/>
      </w:r>
      <w:r w:rsidRPr="00AA2110">
        <w:t xml:space="preserve"> so increasing uptake of breast screening in Aboriginal and Torres Strait Islander women would reduce illness and death from breast cancer. To do so, </w:t>
      </w:r>
      <w:r w:rsidR="0091607E">
        <w:t xml:space="preserve">requires </w:t>
      </w:r>
      <w:r w:rsidRPr="00AA2110">
        <w:t xml:space="preserve">investigation into the barriers faced by </w:t>
      </w:r>
      <w:r w:rsidR="005D0A08">
        <w:t>Aboriginal and Torres Strait Islander</w:t>
      </w:r>
      <w:r w:rsidRPr="00AA2110">
        <w:t xml:space="preserve"> women, and co-designed strategies to overcome these.</w:t>
      </w:r>
    </w:p>
    <w:p w14:paraId="28FF7061" w14:textId="43FAF0CE" w:rsidR="008F22E1" w:rsidRDefault="008F22E1" w:rsidP="008F22E1">
      <w:pPr>
        <w:pStyle w:val="Heading2"/>
      </w:pPr>
      <w:r>
        <w:lastRenderedPageBreak/>
        <w:t>Broader policy guidance</w:t>
      </w:r>
    </w:p>
    <w:p w14:paraId="2BDF5764" w14:textId="19AB5203" w:rsidR="008F22E1" w:rsidRDefault="008939A0" w:rsidP="008F22E1">
      <w:r>
        <w:t xml:space="preserve">The Human Rights Act (Qld) 2019 Section </w:t>
      </w:r>
      <w:r w:rsidR="008C2D77">
        <w:t>37 outlines that every person has a right to access health services without discrimination.</w:t>
      </w:r>
      <w:r w:rsidR="005E648A">
        <w:rPr>
          <w:rStyle w:val="FootnoteReference"/>
        </w:rPr>
        <w:footnoteReference w:id="4"/>
      </w:r>
      <w:r w:rsidR="008C2D77">
        <w:t xml:space="preserve"> </w:t>
      </w:r>
      <w:r w:rsidR="009D5259">
        <w:t>Regional</w:t>
      </w:r>
      <w:r w:rsidR="00081FCE">
        <w:t>ity</w:t>
      </w:r>
      <w:r w:rsidR="009D5259">
        <w:t xml:space="preserve"> and Indigenous status should not play a role in access to breast cancer screening services, </w:t>
      </w:r>
      <w:r w:rsidR="00081FCE">
        <w:t xml:space="preserve">but as demonstrated above, </w:t>
      </w:r>
      <w:proofErr w:type="gramStart"/>
      <w:r w:rsidR="00081FCE">
        <w:t>still continues</w:t>
      </w:r>
      <w:proofErr w:type="gramEnd"/>
      <w:r w:rsidR="00081FCE">
        <w:t xml:space="preserve"> today. </w:t>
      </w:r>
    </w:p>
    <w:p w14:paraId="7FE94E76" w14:textId="5D3F07A2" w:rsidR="008F1F37" w:rsidRDefault="008F1F37" w:rsidP="008F22E1">
      <w:r>
        <w:t xml:space="preserve">The first socio-economic target of the </w:t>
      </w:r>
      <w:r w:rsidRPr="00CF7271">
        <w:t>National Agreement on Closing the Gap</w:t>
      </w:r>
      <w:r>
        <w:t xml:space="preserve"> aims to </w:t>
      </w:r>
      <w:r w:rsidR="002002BE">
        <w:t>c</w:t>
      </w:r>
      <w:r>
        <w:t xml:space="preserve">lose the </w:t>
      </w:r>
      <w:r w:rsidR="002002BE">
        <w:t>g</w:t>
      </w:r>
      <w:r>
        <w:t>ap in life expectancy within a generation, by 2031.</w:t>
      </w:r>
      <w:r w:rsidR="008726CE">
        <w:rPr>
          <w:rStyle w:val="FootnoteReference"/>
        </w:rPr>
        <w:footnoteReference w:id="5"/>
      </w:r>
      <w:r>
        <w:t xml:space="preserve"> </w:t>
      </w:r>
      <w:r w:rsidR="00623C20">
        <w:t xml:space="preserve">The literature demonstrates how breast cancer contributes to this gap in life expectancy between Aboriginal and Torres Strait Islander women and </w:t>
      </w:r>
      <w:r w:rsidR="00F543DB">
        <w:t xml:space="preserve">non-Indigenous women. </w:t>
      </w:r>
      <w:r w:rsidR="00F819CB">
        <w:t xml:space="preserve">Formal partnerships with </w:t>
      </w:r>
      <w:r w:rsidR="004E48ED">
        <w:t>Aboriginal community-controlled health organisations (</w:t>
      </w:r>
      <w:r w:rsidR="004E48ED" w:rsidRPr="00AA2110">
        <w:t>ACCHOs</w:t>
      </w:r>
      <w:r w:rsidR="004E48ED">
        <w:t xml:space="preserve">) and building the </w:t>
      </w:r>
      <w:r w:rsidR="007225B8">
        <w:t>community-controlled</w:t>
      </w:r>
      <w:r w:rsidR="004E48ED">
        <w:t xml:space="preserve"> health sector </w:t>
      </w:r>
      <w:proofErr w:type="gramStart"/>
      <w:r w:rsidR="00830AB4">
        <w:t>in the area of</w:t>
      </w:r>
      <w:proofErr w:type="gramEnd"/>
      <w:r w:rsidR="00830AB4">
        <w:t xml:space="preserve"> breast cancer screening </w:t>
      </w:r>
      <w:r w:rsidR="004E48ED">
        <w:t>a</w:t>
      </w:r>
      <w:r w:rsidR="00AE23B5">
        <w:t xml:space="preserve">ddress the first two priority reforms from this National Agreement and </w:t>
      </w:r>
      <w:r w:rsidR="00830AB4">
        <w:t>contribute to putting this target back on track</w:t>
      </w:r>
      <w:r w:rsidR="004E48ED" w:rsidRPr="00AA2110">
        <w:t xml:space="preserve">. </w:t>
      </w:r>
    </w:p>
    <w:p w14:paraId="33937F61" w14:textId="5DB1A15C" w:rsidR="0089313E" w:rsidRPr="00D37231" w:rsidRDefault="008142AA" w:rsidP="008F22E1">
      <w:r>
        <w:t xml:space="preserve">Any </w:t>
      </w:r>
      <w:r w:rsidR="0091607E">
        <w:t xml:space="preserve">local Health and Hospital Service (HHS) or Queensland Health related </w:t>
      </w:r>
      <w:r>
        <w:t xml:space="preserve">action plans </w:t>
      </w:r>
      <w:r w:rsidR="00812F34">
        <w:t xml:space="preserve">should be linked to </w:t>
      </w:r>
      <w:r w:rsidR="0089313E" w:rsidRPr="00A44936">
        <w:t xml:space="preserve">Health Equity Strategy efforts required under the </w:t>
      </w:r>
      <w:r w:rsidR="0089313E" w:rsidRPr="00A44936">
        <w:rPr>
          <w:i/>
          <w:iCs/>
        </w:rPr>
        <w:t>Making Tracks Together- Queensland’s Aboriginal and Torres Strait Islander Health Equity Framework.</w:t>
      </w:r>
      <w:r w:rsidR="0089313E" w:rsidRPr="00A44936">
        <w:rPr>
          <w:vertAlign w:val="superscript"/>
        </w:rPr>
        <w:footnoteReference w:id="6"/>
      </w:r>
      <w:r w:rsidR="00D37231">
        <w:t xml:space="preserve"> </w:t>
      </w:r>
      <w:r w:rsidR="0091607E">
        <w:t>At a State-wide level, a</w:t>
      </w:r>
      <w:r w:rsidR="00D37231">
        <w:t xml:space="preserve"> co-designed implementation </w:t>
      </w:r>
      <w:r w:rsidR="0091607E">
        <w:t xml:space="preserve">plan for </w:t>
      </w:r>
      <w:r w:rsidR="00D37231">
        <w:t xml:space="preserve">a </w:t>
      </w:r>
      <w:r w:rsidR="00E82A4D">
        <w:t>h</w:t>
      </w:r>
      <w:r w:rsidR="00D37231">
        <w:t xml:space="preserve">ealth </w:t>
      </w:r>
      <w:r w:rsidR="00E82A4D">
        <w:t>e</w:t>
      </w:r>
      <w:r w:rsidR="00D37231">
        <w:t xml:space="preserve">quity </w:t>
      </w:r>
      <w:r w:rsidR="00E82A4D">
        <w:t>s</w:t>
      </w:r>
      <w:r w:rsidR="00D37231">
        <w:t>trategy with QAIHC</w:t>
      </w:r>
      <w:r w:rsidR="00B25914">
        <w:t xml:space="preserve">, could </w:t>
      </w:r>
      <w:r w:rsidR="0091607E">
        <w:t xml:space="preserve">support </w:t>
      </w:r>
      <w:r w:rsidR="00B25914">
        <w:t xml:space="preserve">health equity and improve Aboriginal and Torres Strait Islander outcomes in regards to breast cancer awareness, screening and treatment as well as </w:t>
      </w:r>
      <w:r w:rsidR="0091607E">
        <w:t xml:space="preserve">reducing institutionalised or systemic </w:t>
      </w:r>
      <w:r w:rsidR="00B25914">
        <w:t xml:space="preserve">racism </w:t>
      </w:r>
      <w:r w:rsidR="0091607E">
        <w:t>within the Queensland health system that may foster disparities in access to health services.</w:t>
      </w:r>
    </w:p>
    <w:p w14:paraId="002FC90D" w14:textId="64346BB6" w:rsidR="00FB6F81" w:rsidRPr="00AA2110" w:rsidRDefault="00FB6F81" w:rsidP="00FB6F81">
      <w:pPr>
        <w:pStyle w:val="Heading2"/>
      </w:pPr>
      <w:r>
        <w:t>Barriers to screening</w:t>
      </w:r>
    </w:p>
    <w:p w14:paraId="19F9810E" w14:textId="36D52908" w:rsidR="00F61B5E" w:rsidRPr="001B5842" w:rsidRDefault="00F61B5E" w:rsidP="00F61B5E">
      <w:pPr>
        <w:rPr>
          <w:vertAlign w:val="superscript"/>
        </w:rPr>
      </w:pPr>
      <w:r w:rsidRPr="00500780">
        <w:t xml:space="preserve">A Queensland report conducted over nine months </w:t>
      </w:r>
      <w:r w:rsidR="0091607E">
        <w:t>during</w:t>
      </w:r>
      <w:r w:rsidR="0091607E" w:rsidRPr="00500780">
        <w:t xml:space="preserve"> </w:t>
      </w:r>
      <w:r w:rsidRPr="00500780">
        <w:t xml:space="preserve">1998-1999 looked at the user experience of 101 Aboriginal and Torres Strait Islander women, majority aged over 40 years, at </w:t>
      </w:r>
      <w:proofErr w:type="spellStart"/>
      <w:r w:rsidRPr="00500780">
        <w:t>BreastScreen</w:t>
      </w:r>
      <w:proofErr w:type="spellEnd"/>
      <w:r w:rsidRPr="00500780">
        <w:t xml:space="preserve"> Australia services.</w:t>
      </w:r>
      <w:r w:rsidR="001B5842">
        <w:rPr>
          <w:vertAlign w:val="superscript"/>
        </w:rPr>
        <w:t>7</w:t>
      </w:r>
      <w:r w:rsidRPr="00500780">
        <w:t xml:space="preserve"> Participants were recruited from urban (Brisbane, Sunshine Coast), rural (Cherbourg and </w:t>
      </w:r>
      <w:proofErr w:type="spellStart"/>
      <w:r w:rsidRPr="00500780">
        <w:t>Cunnumulla</w:t>
      </w:r>
      <w:proofErr w:type="spellEnd"/>
      <w:r w:rsidRPr="00500780">
        <w:t xml:space="preserve">), and remote settings (Mt Isa, Cairns, Weipa, Kowanyama, Aurukun and Cloncurry). It demonstrated women were generally satisfied, with pleasant staff and a clear explanation of the screening process. This was emulated in the feedback received from </w:t>
      </w:r>
      <w:r w:rsidR="003172AA">
        <w:t xml:space="preserve">several QAIHC </w:t>
      </w:r>
      <w:r w:rsidRPr="00500780">
        <w:t xml:space="preserve">members services </w:t>
      </w:r>
      <w:r w:rsidR="003172AA">
        <w:t>consulted in 2024</w:t>
      </w:r>
      <w:r w:rsidRPr="00500780">
        <w:t xml:space="preserve">. However, there were issues around location of mobile services as some </w:t>
      </w:r>
      <w:r w:rsidR="003172AA">
        <w:t xml:space="preserve">services </w:t>
      </w:r>
      <w:r w:rsidRPr="00500780">
        <w:t xml:space="preserve">deemed them to be </w:t>
      </w:r>
      <w:r w:rsidR="003172AA">
        <w:t>poorly</w:t>
      </w:r>
      <w:r w:rsidR="000A0396">
        <w:t xml:space="preserve"> </w:t>
      </w:r>
      <w:r w:rsidRPr="00500780">
        <w:t>accessible for those who did not have access to public or private transport. Issues around location seem to have largely improved over the years with more mobile vans, and assistance with transport to centralised clinics, but infrequent visits by mobile vans to some regions still need to be addressed.</w:t>
      </w:r>
    </w:p>
    <w:p w14:paraId="13D8BC4C" w14:textId="77777777" w:rsidR="00F61B5E" w:rsidRPr="00500780" w:rsidRDefault="00F61B5E" w:rsidP="00F61B5E">
      <w:r w:rsidRPr="00500780">
        <w:t>Another identified barrier was the use of a fixed appointment system with a preference for a ‘drop-in’ service. Women in rural communities, felt particularly ‘safe’ and at ease when the screening services took place in an ACCHO with the use of Aboriginal and Torres Strait Islander health workers.</w:t>
      </w:r>
      <w:r w:rsidRPr="00500780">
        <w:rPr>
          <w:vertAlign w:val="superscript"/>
        </w:rPr>
        <w:footnoteReference w:id="7"/>
      </w:r>
      <w:r w:rsidRPr="00500780">
        <w:t xml:space="preserve"> </w:t>
      </w:r>
    </w:p>
    <w:p w14:paraId="7CBC6AA6" w14:textId="09F5AF52" w:rsidR="00F61B5E" w:rsidRDefault="003172AA" w:rsidP="00F61B5E">
      <w:r>
        <w:lastRenderedPageBreak/>
        <w:t>QAIHC member</w:t>
      </w:r>
      <w:r w:rsidRPr="008F52D4">
        <w:t xml:space="preserve"> </w:t>
      </w:r>
      <w:r w:rsidR="00F61B5E" w:rsidRPr="008F52D4">
        <w:t xml:space="preserve">services have not reported a large uptake in their patients seeking breast cancer screening outside of </w:t>
      </w:r>
      <w:proofErr w:type="spellStart"/>
      <w:r w:rsidR="00F61B5E" w:rsidRPr="008F52D4">
        <w:t>BreastScreen</w:t>
      </w:r>
      <w:proofErr w:type="spellEnd"/>
      <w:r w:rsidR="00F61B5E" w:rsidRPr="008F52D4">
        <w:t xml:space="preserve"> Australia. One </w:t>
      </w:r>
      <w:r>
        <w:t>service reported</w:t>
      </w:r>
      <w:r w:rsidR="00F61B5E" w:rsidRPr="008F52D4">
        <w:t xml:space="preserve"> that some patients were seeking breast cancer screening outside of </w:t>
      </w:r>
      <w:proofErr w:type="spellStart"/>
      <w:r w:rsidR="00F61B5E" w:rsidRPr="008F52D4">
        <w:t>BreastScreen</w:t>
      </w:r>
      <w:proofErr w:type="spellEnd"/>
      <w:r w:rsidR="00F61B5E" w:rsidRPr="008F52D4">
        <w:t xml:space="preserve"> Australia when the mobile vans did not visit their region annually </w:t>
      </w:r>
      <w:proofErr w:type="gramStart"/>
      <w:r w:rsidR="00F61B5E" w:rsidRPr="008F52D4">
        <w:t>in order to</w:t>
      </w:r>
      <w:proofErr w:type="gramEnd"/>
      <w:r w:rsidR="00F61B5E" w:rsidRPr="008F52D4">
        <w:t xml:space="preserve"> aid timely diagnosis. </w:t>
      </w:r>
    </w:p>
    <w:p w14:paraId="53624B08" w14:textId="350D7DEB" w:rsidR="00AA2110" w:rsidRPr="00AA2110" w:rsidRDefault="00AA2110" w:rsidP="00AA2110">
      <w:r w:rsidRPr="00AA2110">
        <w:t xml:space="preserve">The main barriers </w:t>
      </w:r>
      <w:r w:rsidR="003172AA">
        <w:t xml:space="preserve">to breast cancer screening </w:t>
      </w:r>
      <w:r w:rsidRPr="00AA2110">
        <w:t>appear to be due to ease of access, beliefs around health</w:t>
      </w:r>
      <w:r w:rsidR="003172AA">
        <w:t>,</w:t>
      </w:r>
      <w:r w:rsidRPr="00AA2110">
        <w:t xml:space="preserve"> and </w:t>
      </w:r>
      <w:r w:rsidR="003172AA">
        <w:t xml:space="preserve">the </w:t>
      </w:r>
      <w:r w:rsidRPr="00AA2110">
        <w:t>quality of care.</w:t>
      </w:r>
    </w:p>
    <w:p w14:paraId="7CE5576E" w14:textId="3C13B2F6" w:rsidR="00AA2110" w:rsidRPr="00AA2110" w:rsidRDefault="00AA2110" w:rsidP="00AA2110">
      <w:r w:rsidRPr="00AA2110">
        <w:t xml:space="preserve">Ease of </w:t>
      </w:r>
      <w:r w:rsidR="008F497E">
        <w:t xml:space="preserve">logistical </w:t>
      </w:r>
      <w:r w:rsidRPr="00AA2110">
        <w:t>access is a particular problem in remote areas due to inaccessible roads, increased transport and accommodation costs, separation from families due to need to travel, and lack of choice of service.</w:t>
      </w:r>
      <w:r w:rsidRPr="00AA2110">
        <w:rPr>
          <w:vertAlign w:val="superscript"/>
        </w:rPr>
        <w:footnoteReference w:id="8"/>
      </w:r>
      <w:r w:rsidRPr="00AA2110">
        <w:rPr>
          <w:vertAlign w:val="superscript"/>
        </w:rPr>
        <w:t>,</w:t>
      </w:r>
      <w:r w:rsidRPr="00AA2110">
        <w:rPr>
          <w:vertAlign w:val="superscript"/>
        </w:rPr>
        <w:footnoteReference w:id="9"/>
      </w:r>
      <w:r w:rsidRPr="00AA2110">
        <w:t xml:space="preserve"> One </w:t>
      </w:r>
      <w:r w:rsidR="003172AA">
        <w:t xml:space="preserve">service </w:t>
      </w:r>
      <w:r w:rsidRPr="00AA2110">
        <w:t>report</w:t>
      </w:r>
      <w:r w:rsidR="003172AA">
        <w:t>ed</w:t>
      </w:r>
      <w:r w:rsidRPr="00AA2110">
        <w:t xml:space="preserve"> the mobile </w:t>
      </w:r>
      <w:proofErr w:type="spellStart"/>
      <w:r w:rsidRPr="00AA2110">
        <w:t>BreastScreen</w:t>
      </w:r>
      <w:proofErr w:type="spellEnd"/>
      <w:r w:rsidRPr="00AA2110">
        <w:t xml:space="preserve"> Australia bus only visits </w:t>
      </w:r>
      <w:r w:rsidR="000E7992">
        <w:t xml:space="preserve">its </w:t>
      </w:r>
      <w:r w:rsidRPr="00AA2110">
        <w:t xml:space="preserve">region every two years so patients sometimes need to travel more than </w:t>
      </w:r>
      <w:r w:rsidR="00FE2E9E">
        <w:t>60</w:t>
      </w:r>
      <w:r w:rsidR="00FE2E9E" w:rsidRPr="00AA2110">
        <w:t xml:space="preserve"> </w:t>
      </w:r>
      <w:r w:rsidRPr="00AA2110">
        <w:t xml:space="preserve">kilometres to the </w:t>
      </w:r>
      <w:r w:rsidR="003172AA">
        <w:t>location of screening</w:t>
      </w:r>
      <w:r w:rsidRPr="00AA2110">
        <w:t xml:space="preserve"> buses that visit annually. Other services have reported improvements in accessing </w:t>
      </w:r>
      <w:proofErr w:type="spellStart"/>
      <w:r w:rsidRPr="00AA2110">
        <w:t>BreastScreen</w:t>
      </w:r>
      <w:proofErr w:type="spellEnd"/>
      <w:r w:rsidRPr="00AA2110">
        <w:t xml:space="preserve"> mobile vans, with the local ACCHOs assisting with transport if required. They also reported positive communication with </w:t>
      </w:r>
      <w:proofErr w:type="spellStart"/>
      <w:r w:rsidRPr="00AA2110">
        <w:t>BreastScreen</w:t>
      </w:r>
      <w:proofErr w:type="spellEnd"/>
      <w:r w:rsidRPr="00AA2110">
        <w:t xml:space="preserve"> Australia in organising community breast screening days.</w:t>
      </w:r>
    </w:p>
    <w:p w14:paraId="76F8A5FF" w14:textId="7153FB1F" w:rsidR="00974358" w:rsidRDefault="00AA2110" w:rsidP="00AA2110">
      <w:r w:rsidRPr="00AA2110">
        <w:t xml:space="preserve">Varying beliefs around health can influence uptake of screening </w:t>
      </w:r>
      <w:r w:rsidR="00974358">
        <w:t>such as</w:t>
      </w:r>
      <w:r w:rsidR="00974358" w:rsidRPr="00AA2110">
        <w:t xml:space="preserve"> </w:t>
      </w:r>
      <w:r w:rsidRPr="00AA2110">
        <w:t xml:space="preserve">previous unpleasant experiences with breast </w:t>
      </w:r>
      <w:r w:rsidR="00974358">
        <w:t xml:space="preserve">cancer </w:t>
      </w:r>
      <w:r w:rsidRPr="00AA2110">
        <w:t>screening services or hearing about other’s unpleasant past experiences.</w:t>
      </w:r>
      <w:r w:rsidRPr="00AA2110">
        <w:rPr>
          <w:vertAlign w:val="superscript"/>
        </w:rPr>
        <w:footnoteReference w:id="10"/>
      </w:r>
      <w:r w:rsidRPr="00AA2110">
        <w:t xml:space="preserve"> Competing health and life priorities, and lack of knowledge about screening and ‘shame’ or fear related to breast examination or screening continues today</w:t>
      </w:r>
      <w:r w:rsidRPr="00AA2110">
        <w:rPr>
          <w:vertAlign w:val="superscript"/>
        </w:rPr>
        <w:t>,</w:t>
      </w:r>
      <w:r w:rsidR="009617D3">
        <w:rPr>
          <w:vertAlign w:val="superscript"/>
        </w:rPr>
        <w:t>7</w:t>
      </w:r>
      <w:r w:rsidRPr="00AA2110">
        <w:rPr>
          <w:vertAlign w:val="superscript"/>
        </w:rPr>
        <w:t>,</w:t>
      </w:r>
      <w:r w:rsidRPr="00AA2110">
        <w:rPr>
          <w:vertAlign w:val="superscript"/>
        </w:rPr>
        <w:footnoteReference w:id="11"/>
      </w:r>
      <w:r w:rsidRPr="00AA2110">
        <w:rPr>
          <w:vertAlign w:val="superscript"/>
        </w:rPr>
        <w:t>,</w:t>
      </w:r>
      <w:r w:rsidRPr="00AA2110">
        <w:rPr>
          <w:vertAlign w:val="superscript"/>
        </w:rPr>
        <w:footnoteReference w:id="12"/>
      </w:r>
      <w:r w:rsidRPr="00AA2110">
        <w:t xml:space="preserve">. Services report that regardless of the health promotion resources, the ‘shame’ </w:t>
      </w:r>
      <w:r w:rsidR="00F771D4">
        <w:t xml:space="preserve">or fear </w:t>
      </w:r>
      <w:r w:rsidRPr="00AA2110">
        <w:t xml:space="preserve">factor continues to play a role in the reduced uptake of screening in </w:t>
      </w:r>
      <w:r w:rsidR="005D0A08">
        <w:t>Aboriginal and Torres Strait Islander</w:t>
      </w:r>
      <w:r w:rsidRPr="00AA2110">
        <w:t xml:space="preserve"> women, but this may vary across culturally diverse Aboriginal peoples and Torres Strait Islander peoples. </w:t>
      </w:r>
    </w:p>
    <w:p w14:paraId="20328FEF" w14:textId="7BB18D0D" w:rsidR="00AA2110" w:rsidRPr="00AA2110" w:rsidRDefault="00AA2110" w:rsidP="00AA2110">
      <w:r w:rsidRPr="00AA2110">
        <w:t xml:space="preserve">Services also believe that increased education to clinical staff </w:t>
      </w:r>
      <w:r w:rsidR="00974358">
        <w:t xml:space="preserve">about breast cancer screening </w:t>
      </w:r>
      <w:r w:rsidRPr="00AA2110">
        <w:t xml:space="preserve">would help promote </w:t>
      </w:r>
      <w:r w:rsidR="00974358">
        <w:t xml:space="preserve">breast </w:t>
      </w:r>
      <w:r w:rsidRPr="00AA2110">
        <w:t>screening services and provide better advice to patients.</w:t>
      </w:r>
    </w:p>
    <w:p w14:paraId="0E5AE9B8" w14:textId="3DD5D7C3" w:rsidR="00974358" w:rsidRDefault="00974358" w:rsidP="00AA2110">
      <w:r>
        <w:t>A l</w:t>
      </w:r>
      <w:r w:rsidR="00AA2110" w:rsidRPr="00AA2110">
        <w:t xml:space="preserve">ack of cultural awareness or safety at </w:t>
      </w:r>
      <w:r>
        <w:t xml:space="preserve">breast cancer </w:t>
      </w:r>
      <w:r w:rsidR="00AA2110" w:rsidRPr="00AA2110">
        <w:t>screening services, as well as historical apprehension about health services due to after-effects of colonisation and intergenerational trauma are other barriers to consider.</w:t>
      </w:r>
      <w:r w:rsidR="00F6746A">
        <w:rPr>
          <w:vertAlign w:val="superscript"/>
        </w:rPr>
        <w:t>9</w:t>
      </w:r>
      <w:r w:rsidR="00AA2110" w:rsidRPr="00AA2110">
        <w:rPr>
          <w:vertAlign w:val="superscript"/>
        </w:rPr>
        <w:t>,</w:t>
      </w:r>
      <w:r w:rsidR="00F6746A">
        <w:rPr>
          <w:vertAlign w:val="superscript"/>
        </w:rPr>
        <w:t>10</w:t>
      </w:r>
      <w:r w:rsidR="00AA2110" w:rsidRPr="00AA2110">
        <w:t xml:space="preserve"> </w:t>
      </w:r>
    </w:p>
    <w:p w14:paraId="7EF10FF9" w14:textId="22CE5C22" w:rsidR="00AA2110" w:rsidRDefault="00AA2110" w:rsidP="00AA2110">
      <w:r w:rsidRPr="00AA2110">
        <w:t xml:space="preserve">Finally, health programs using a holistic approach to screening are particularly important to </w:t>
      </w:r>
      <w:r w:rsidR="005D0A08">
        <w:t>Aboriginal and Torres Strait Islander</w:t>
      </w:r>
      <w:r w:rsidRPr="00AA2110">
        <w:t xml:space="preserve"> women because healthcare should not focus exclusively on one disease.</w:t>
      </w:r>
      <w:r w:rsidR="00F6746A">
        <w:rPr>
          <w:vertAlign w:val="superscript"/>
        </w:rPr>
        <w:t>7</w:t>
      </w:r>
      <w:r w:rsidRPr="00AA2110">
        <w:t xml:space="preserve"> </w:t>
      </w:r>
      <w:r w:rsidR="00D65949">
        <w:t>This is consistent with the comprehensive model of care adopted by ACCHOs</w:t>
      </w:r>
      <w:r w:rsidR="00E70069">
        <w:t xml:space="preserve"> and considered best practice primary health care</w:t>
      </w:r>
      <w:r w:rsidR="00D65949">
        <w:t xml:space="preserve">. </w:t>
      </w:r>
    </w:p>
    <w:p w14:paraId="1FD3D686" w14:textId="77777777" w:rsidR="00C6198B" w:rsidRDefault="00C6198B" w:rsidP="00C6198B">
      <w:pPr>
        <w:pStyle w:val="Heading1"/>
      </w:pPr>
      <w:r>
        <w:lastRenderedPageBreak/>
        <w:t>Opportunities</w:t>
      </w:r>
    </w:p>
    <w:p w14:paraId="47E464BB" w14:textId="630DD78F" w:rsidR="00AA2110" w:rsidRDefault="00AA2110" w:rsidP="00AA2110">
      <w:r w:rsidRPr="00AA2110">
        <w:t xml:space="preserve">These barriers can be addressed by ongoing collaboration and </w:t>
      </w:r>
      <w:r w:rsidR="00165937">
        <w:t xml:space="preserve">formal </w:t>
      </w:r>
      <w:r w:rsidRPr="00AA2110">
        <w:t>partnership</w:t>
      </w:r>
      <w:r w:rsidR="00165937">
        <w:t>s</w:t>
      </w:r>
      <w:r w:rsidRPr="00AA2110">
        <w:t xml:space="preserve"> with ACCHOs </w:t>
      </w:r>
      <w:r w:rsidR="00165937">
        <w:t xml:space="preserve">and their peak body, </w:t>
      </w:r>
      <w:r w:rsidRPr="00AA2110">
        <w:t xml:space="preserve">to improve </w:t>
      </w:r>
      <w:r w:rsidR="00165937">
        <w:t xml:space="preserve">cultural and logistical </w:t>
      </w:r>
      <w:r w:rsidRPr="00AA2110">
        <w:t xml:space="preserve">accessibility of </w:t>
      </w:r>
      <w:r w:rsidR="00846034">
        <w:t xml:space="preserve">breast cancer screening </w:t>
      </w:r>
      <w:r w:rsidRPr="00AA2110">
        <w:t>services.</w:t>
      </w:r>
    </w:p>
    <w:p w14:paraId="107E099F" w14:textId="5E7DDEDB" w:rsidR="00ED731E" w:rsidRPr="00AA2110" w:rsidRDefault="00ED731E" w:rsidP="00ED731E">
      <w:pPr>
        <w:pStyle w:val="Heading2"/>
      </w:pPr>
      <w:r>
        <w:t>Collaboration with ACCHOs</w:t>
      </w:r>
      <w:r w:rsidR="001F1836">
        <w:t xml:space="preserve"> at local level</w:t>
      </w:r>
    </w:p>
    <w:p w14:paraId="375523C8" w14:textId="5AC54CD4" w:rsidR="00AA2110" w:rsidRPr="00AA2110" w:rsidRDefault="00AA2110" w:rsidP="00AA2110">
      <w:r w:rsidRPr="00AA2110">
        <w:t xml:space="preserve">To make </w:t>
      </w:r>
      <w:r w:rsidR="00DA1AD3">
        <w:t>b</w:t>
      </w:r>
      <w:r w:rsidRPr="00AA2110">
        <w:t>reast screening services more effective, facilitating this collaboration and partnership with ACCHOs can take many forms.</w:t>
      </w:r>
    </w:p>
    <w:p w14:paraId="584A7929" w14:textId="62C07493" w:rsidR="00AA2110" w:rsidRPr="00AA2110" w:rsidRDefault="00AA2110" w:rsidP="00AA2110">
      <w:pPr>
        <w:numPr>
          <w:ilvl w:val="0"/>
          <w:numId w:val="33"/>
        </w:numPr>
      </w:pPr>
      <w:r w:rsidRPr="00AA2110">
        <w:t>Sharing information (</w:t>
      </w:r>
      <w:proofErr w:type="gramStart"/>
      <w:r w:rsidR="00ED7B47" w:rsidRPr="00AA2110">
        <w:t>e.g.</w:t>
      </w:r>
      <w:proofErr w:type="gramEnd"/>
      <w:r w:rsidRPr="00AA2110">
        <w:t xml:space="preserve"> visit and location schedules that can be tailored to suit services)</w:t>
      </w:r>
    </w:p>
    <w:p w14:paraId="3C16FB01" w14:textId="77777777" w:rsidR="00AA2110" w:rsidRPr="00AA2110" w:rsidRDefault="00AA2110" w:rsidP="00AA2110">
      <w:pPr>
        <w:numPr>
          <w:ilvl w:val="0"/>
          <w:numId w:val="33"/>
        </w:numPr>
      </w:pPr>
      <w:r w:rsidRPr="00AA2110">
        <w:t>Mutual acceptance of interdependence (one cannot achieve the same outcome alone as could be achieved together)</w:t>
      </w:r>
    </w:p>
    <w:p w14:paraId="58A8186C" w14:textId="77777777" w:rsidR="00AA2110" w:rsidRPr="00AA2110" w:rsidRDefault="00AA2110" w:rsidP="00AA2110">
      <w:pPr>
        <w:numPr>
          <w:ilvl w:val="0"/>
          <w:numId w:val="33"/>
        </w:numPr>
      </w:pPr>
      <w:r w:rsidRPr="00AA2110">
        <w:t>Sharing of resources to support mutually agreed actions</w:t>
      </w:r>
    </w:p>
    <w:p w14:paraId="43BDD6E1" w14:textId="77777777" w:rsidR="00AA2110" w:rsidRPr="00AA2110" w:rsidRDefault="00AA2110" w:rsidP="00AA2110">
      <w:pPr>
        <w:numPr>
          <w:ilvl w:val="0"/>
          <w:numId w:val="33"/>
        </w:numPr>
      </w:pPr>
      <w:r w:rsidRPr="00AA2110">
        <w:t>Agreements with clear roles and responsibilities of each partner to ensure trust and respect.</w:t>
      </w:r>
    </w:p>
    <w:p w14:paraId="639389F9" w14:textId="3172233D" w:rsidR="00AA2110" w:rsidRPr="00AA2110" w:rsidRDefault="00AA2110" w:rsidP="00AA2110">
      <w:r w:rsidRPr="00AA2110">
        <w:t xml:space="preserve">These relationships with ACCHOs require investment in human resources and in relationship building to develop tailored </w:t>
      </w:r>
      <w:r w:rsidR="00E70069">
        <w:t xml:space="preserve">breast cancer </w:t>
      </w:r>
      <w:r w:rsidRPr="00AA2110">
        <w:t xml:space="preserve">screening services and appropriate and more effective health promotion activity. Such investments in </w:t>
      </w:r>
      <w:r w:rsidR="00162F22">
        <w:t>b</w:t>
      </w:r>
      <w:r w:rsidRPr="00AA2110">
        <w:t>reast</w:t>
      </w:r>
      <w:r w:rsidR="00162F22">
        <w:t xml:space="preserve"> </w:t>
      </w:r>
      <w:r w:rsidRPr="00AA2110">
        <w:t xml:space="preserve">screening service catchment areas </w:t>
      </w:r>
      <w:r w:rsidR="00C507AC" w:rsidRPr="00AA2110">
        <w:t>have</w:t>
      </w:r>
      <w:r w:rsidRPr="00AA2110">
        <w:t xml:space="preserve"> the potential to substantially increase the participation rates of Aboriginal and Torres Strait Islander women</w:t>
      </w:r>
      <w:r w:rsidR="00C507AC">
        <w:t>.</w:t>
      </w:r>
    </w:p>
    <w:p w14:paraId="0F5FBDEA" w14:textId="1F9659F4" w:rsidR="00B545AA" w:rsidRDefault="00B545AA" w:rsidP="00B545AA">
      <w:r w:rsidRPr="00A44936">
        <w:t>Following a cancer diagnosis, Aboriginal and Torres Strait Islander people visited their primary health service nearly six times a year. The frequency of visits was higher in remote areas, and in those socioeco</w:t>
      </w:r>
      <w:r w:rsidR="00E70069">
        <w:t>no</w:t>
      </w:r>
      <w:r w:rsidRPr="00A44936">
        <w:t>mically disadvantaged patients.</w:t>
      </w:r>
      <w:r w:rsidRPr="00A44936">
        <w:rPr>
          <w:vertAlign w:val="superscript"/>
        </w:rPr>
        <w:footnoteReference w:id="13"/>
      </w:r>
      <w:r w:rsidRPr="00A44936">
        <w:t xml:space="preserve">  This highlights the importance of </w:t>
      </w:r>
      <w:r w:rsidR="0079702C">
        <w:t xml:space="preserve">forming formal partnerships and </w:t>
      </w:r>
      <w:r w:rsidRPr="00A44936">
        <w:t xml:space="preserve">linking in early with their primary health care providers, </w:t>
      </w:r>
      <w:r w:rsidR="00E70069">
        <w:t>particularly</w:t>
      </w:r>
      <w:r w:rsidR="00E70069" w:rsidRPr="00A44936">
        <w:t xml:space="preserve"> </w:t>
      </w:r>
      <w:r w:rsidR="00EE460B">
        <w:t>ACCHOs</w:t>
      </w:r>
      <w:r w:rsidRPr="00A44936">
        <w:t xml:space="preserve">. </w:t>
      </w:r>
    </w:p>
    <w:p w14:paraId="6F9230A1" w14:textId="6605A447" w:rsidR="00E70069" w:rsidRDefault="00A44936" w:rsidP="00A44936">
      <w:r w:rsidRPr="00A44936">
        <w:t xml:space="preserve">There is a growing body of evidence surrounding different strategies to increase breast </w:t>
      </w:r>
      <w:r w:rsidR="00E70069">
        <w:t xml:space="preserve">cancer </w:t>
      </w:r>
      <w:r w:rsidRPr="00A44936">
        <w:t xml:space="preserve">screening among </w:t>
      </w:r>
      <w:r w:rsidR="005D0A08">
        <w:t xml:space="preserve">Aboriginal and Torres Strait Islander </w:t>
      </w:r>
      <w:r w:rsidRPr="00A44936">
        <w:t>women with the highest success where there is collaboration with ACCHOs.</w:t>
      </w:r>
      <w:r w:rsidR="00B371EB">
        <w:rPr>
          <w:vertAlign w:val="superscript"/>
        </w:rPr>
        <w:t>11</w:t>
      </w:r>
      <w:r w:rsidRPr="00A44936">
        <w:rPr>
          <w:vertAlign w:val="superscript"/>
        </w:rPr>
        <w:t>,</w:t>
      </w:r>
      <w:r w:rsidRPr="00A44936">
        <w:rPr>
          <w:vertAlign w:val="superscript"/>
        </w:rPr>
        <w:footnoteReference w:id="14"/>
      </w:r>
      <w:r w:rsidRPr="00A44936">
        <w:rPr>
          <w:vertAlign w:val="superscript"/>
        </w:rPr>
        <w:t>,</w:t>
      </w:r>
      <w:r w:rsidRPr="00A44936">
        <w:rPr>
          <w:vertAlign w:val="superscript"/>
        </w:rPr>
        <w:footnoteReference w:id="15"/>
      </w:r>
      <w:r w:rsidRPr="00A44936">
        <w:t xml:space="preserve"> The strategies that focus on resourcing community-led initiatives to raise awareness, involve Aboriginal and Torres Strait Islander health workers and link </w:t>
      </w:r>
      <w:r w:rsidR="00E70069">
        <w:t>with</w:t>
      </w:r>
      <w:r w:rsidR="00E70069" w:rsidRPr="00A44936">
        <w:t xml:space="preserve"> </w:t>
      </w:r>
      <w:r w:rsidRPr="00A44936">
        <w:t>primary health care services appear to facilitate an increase in uptake.</w:t>
      </w:r>
      <w:r w:rsidR="000F34AD">
        <w:rPr>
          <w:vertAlign w:val="superscript"/>
        </w:rPr>
        <w:t>11</w:t>
      </w:r>
      <w:r w:rsidRPr="00A44936">
        <w:t xml:space="preserve"> </w:t>
      </w:r>
    </w:p>
    <w:p w14:paraId="0CC738B4" w14:textId="14A28D24" w:rsidR="00A44936" w:rsidRDefault="00A44936" w:rsidP="00A44936">
      <w:r w:rsidRPr="00A44936">
        <w:t xml:space="preserve">A systematic review and thematic analysis of 15 studies indicated that culture makes a positive difference to improving outcomes for </w:t>
      </w:r>
      <w:r w:rsidR="005D0A08">
        <w:t>Aboriginal and Torres Strait Islander</w:t>
      </w:r>
      <w:r w:rsidRPr="00A44936">
        <w:t xml:space="preserve"> women with breast </w:t>
      </w:r>
      <w:r w:rsidR="007B14CD" w:rsidRPr="00A44936">
        <w:t>cancer and</w:t>
      </w:r>
      <w:r w:rsidRPr="00A44936">
        <w:t xml:space="preserve"> requires strong community leadership and governance at all stages. The concepts that prevailed in their review were “community participation and community being the researchers of their own health concerns”, and “incorporation of culture in research design”.</w:t>
      </w:r>
      <w:r w:rsidR="000F34AD">
        <w:rPr>
          <w:vertAlign w:val="superscript"/>
        </w:rPr>
        <w:t>11</w:t>
      </w:r>
      <w:r w:rsidRPr="00A44936">
        <w:t xml:space="preserve"> This can be achieved by involving </w:t>
      </w:r>
      <w:r w:rsidR="00FF4597">
        <w:t xml:space="preserve">Aboriginal and Torres Strait Islander </w:t>
      </w:r>
      <w:r w:rsidRPr="00A44936">
        <w:t xml:space="preserve">community representatives (through ACCHOs) at early stages of external program design (e.g. breast </w:t>
      </w:r>
      <w:r w:rsidR="00DC66F3">
        <w:t xml:space="preserve">cancer </w:t>
      </w:r>
      <w:r w:rsidRPr="00A44936">
        <w:t>screen</w:t>
      </w:r>
      <w:r w:rsidR="00DC66F3">
        <w:t>ing</w:t>
      </w:r>
      <w:r w:rsidRPr="00A44936">
        <w:t xml:space="preserve"> service program delivery) </w:t>
      </w:r>
      <w:r w:rsidRPr="00A44936">
        <w:lastRenderedPageBreak/>
        <w:t xml:space="preserve">to ensure the </w:t>
      </w:r>
      <w:r w:rsidR="00FF4597">
        <w:t xml:space="preserve">Aboriginal and Torres Strait Islander </w:t>
      </w:r>
      <w:r w:rsidRPr="00A44936">
        <w:t>community has ownership over the program, and it is tailored to meet the needs of their</w:t>
      </w:r>
      <w:r w:rsidR="0079702C">
        <w:t xml:space="preserve"> culture and</w:t>
      </w:r>
      <w:r w:rsidRPr="00A44936">
        <w:t xml:space="preserve"> region. </w:t>
      </w:r>
    </w:p>
    <w:p w14:paraId="1FBA57B9" w14:textId="5A8453F9" w:rsidR="0095703F" w:rsidRDefault="0095703F" w:rsidP="00A44936">
      <w:r w:rsidRPr="006F6DB2">
        <w:t xml:space="preserve">Ongoing quantitative and qualitative monitoring of uptake of breast screening services in </w:t>
      </w:r>
      <w:r w:rsidR="005D0A08">
        <w:t>Aboriginal and Torres Strait Islander</w:t>
      </w:r>
      <w:r w:rsidRPr="006F6DB2">
        <w:t xml:space="preserve"> women is important. Appropriate patient experience measures need to be supported. Evaluation reports shared with the ACCHO sector can foster continuous quality improvement. </w:t>
      </w:r>
    </w:p>
    <w:p w14:paraId="513EDA08" w14:textId="5E213A1B" w:rsidR="001F1836" w:rsidRPr="00A44936" w:rsidRDefault="001F1836" w:rsidP="001F1836">
      <w:pPr>
        <w:pStyle w:val="Heading2"/>
      </w:pPr>
      <w:r>
        <w:t xml:space="preserve">Collaboration with ACCHOs at </w:t>
      </w:r>
      <w:r w:rsidR="003852D2">
        <w:t>s</w:t>
      </w:r>
      <w:r>
        <w:t>tate level</w:t>
      </w:r>
    </w:p>
    <w:p w14:paraId="112E883F" w14:textId="3BBEF686" w:rsidR="00581098" w:rsidRPr="00AA2110" w:rsidRDefault="00581098" w:rsidP="00581098">
      <w:r w:rsidRPr="00AA2110">
        <w:t xml:space="preserve">At a </w:t>
      </w:r>
      <w:r w:rsidR="003852D2">
        <w:t>s</w:t>
      </w:r>
      <w:r w:rsidRPr="00AA2110">
        <w:t xml:space="preserve">tate level, collaboration between peak bodies to enable action plans and evaluation frameworks to underpin these investments should be supported with QAIHC. </w:t>
      </w:r>
    </w:p>
    <w:p w14:paraId="3CA4A9D1" w14:textId="09DEC7AD" w:rsidR="00A44936" w:rsidRPr="00A44936" w:rsidRDefault="00DC66F3" w:rsidP="00A44936">
      <w:r>
        <w:t>QAIHC</w:t>
      </w:r>
      <w:r w:rsidRPr="00A44936">
        <w:t xml:space="preserve"> </w:t>
      </w:r>
      <w:r w:rsidR="00A44936" w:rsidRPr="00A44936">
        <w:t>understand</w:t>
      </w:r>
      <w:r>
        <w:t>s</w:t>
      </w:r>
      <w:r w:rsidR="00A44936" w:rsidRPr="00A44936">
        <w:t xml:space="preserve"> that at a state-wide level, there is limited engagements between ACCHOs and the </w:t>
      </w:r>
      <w:proofErr w:type="spellStart"/>
      <w:r w:rsidR="00A44936" w:rsidRPr="00A44936">
        <w:t>BreastScreen</w:t>
      </w:r>
      <w:proofErr w:type="spellEnd"/>
      <w:r w:rsidR="00A44936" w:rsidRPr="00A44936">
        <w:t xml:space="preserve"> program</w:t>
      </w:r>
      <w:r w:rsidR="00060D1D">
        <w:t xml:space="preserve"> in Queensland (BSQ)</w:t>
      </w:r>
      <w:r w:rsidR="00A44936" w:rsidRPr="00A44936">
        <w:t>. The local engagement is dependent on Hospital and Health Services (HHS) boundaries so can be variable. Each BSQ service currently needs to seek individual funding arrangements to organise morning teas events, professional development sessions and projects (</w:t>
      </w:r>
      <w:proofErr w:type="gramStart"/>
      <w:r w:rsidR="00A44936" w:rsidRPr="00A44936">
        <w:t>e.g.</w:t>
      </w:r>
      <w:proofErr w:type="gramEnd"/>
      <w:r w:rsidR="00A44936" w:rsidRPr="00A44936">
        <w:t xml:space="preserve"> the shawl project). </w:t>
      </w:r>
      <w:r w:rsidR="00060D1D">
        <w:t>QAIHC</w:t>
      </w:r>
      <w:r w:rsidR="00060D1D" w:rsidRPr="00A44936">
        <w:t xml:space="preserve"> </w:t>
      </w:r>
      <w:r w:rsidR="00A44936" w:rsidRPr="00A44936">
        <w:t>believe</w:t>
      </w:r>
      <w:r w:rsidR="00060D1D">
        <w:t>s</w:t>
      </w:r>
      <w:r w:rsidR="00A44936" w:rsidRPr="00A44936">
        <w:t xml:space="preserve"> a consistent state-wide approach to engagement with local ACCHOs through </w:t>
      </w:r>
      <w:r w:rsidR="0056685D">
        <w:t xml:space="preserve">formal </w:t>
      </w:r>
      <w:r w:rsidR="00A44936" w:rsidRPr="00A44936">
        <w:t xml:space="preserve">partnerships and program co-design with QAIHC will equitably benefit all Queenslanders. </w:t>
      </w:r>
    </w:p>
    <w:p w14:paraId="6C082D11" w14:textId="4359021D" w:rsidR="00B0219D" w:rsidRPr="00BA4267" w:rsidRDefault="00B0219D" w:rsidP="00B0219D">
      <w:pPr>
        <w:spacing w:before="240"/>
      </w:pPr>
      <w:r w:rsidRPr="00BA4267">
        <w:t xml:space="preserve">A consistent approach could assist in sharing and enhancing the development of culturally appropriate and effective health promotion strategies between services and build on success stories </w:t>
      </w:r>
      <w:proofErr w:type="gramStart"/>
      <w:r w:rsidRPr="00BA4267">
        <w:t>e.g.</w:t>
      </w:r>
      <w:proofErr w:type="gramEnd"/>
      <w:r w:rsidRPr="00BA4267">
        <w:t xml:space="preserve"> shawl project, morning teas, professional development days and community screening days. Ideally these cancer screening days could be linked with other wellness initiatives including promotion of immunisations, skin checks and social and emotional wellbeing support. This would require thorough collaboration and planning with the local ACCHO through linked agreements that support partnerships and collaboration.</w:t>
      </w:r>
    </w:p>
    <w:p w14:paraId="5128EAEB" w14:textId="77777777" w:rsidR="0065423D" w:rsidRDefault="00A44936" w:rsidP="00A44936">
      <w:r w:rsidRPr="00A44936">
        <w:t>Such engagement will require an action and evaluation plan. Outcome measures should include breast</w:t>
      </w:r>
      <w:r w:rsidR="00B069EE">
        <w:t xml:space="preserve"> </w:t>
      </w:r>
      <w:r w:rsidR="0065423D">
        <w:t xml:space="preserve">cancer </w:t>
      </w:r>
      <w:r w:rsidRPr="00A44936">
        <w:t>screen</w:t>
      </w:r>
      <w:r w:rsidR="0065423D">
        <w:t>ing</w:t>
      </w:r>
      <w:r w:rsidRPr="00A44936">
        <w:t xml:space="preserve"> participation rates and other performance measures (including qualitative analysis and patient experience measures) that can be disaggregated by service location </w:t>
      </w:r>
      <w:proofErr w:type="gramStart"/>
      <w:r w:rsidRPr="00A44936">
        <w:t>in order to</w:t>
      </w:r>
      <w:proofErr w:type="gramEnd"/>
      <w:r w:rsidRPr="00A44936">
        <w:t xml:space="preserve"> attribute outcome measures to the quality of collaboration and engagement efforts with ACCHSs.  </w:t>
      </w:r>
    </w:p>
    <w:p w14:paraId="4E6BE36A" w14:textId="1CD92338" w:rsidR="00A44936" w:rsidRPr="00A44936" w:rsidRDefault="00A44936" w:rsidP="00A44936">
      <w:r w:rsidRPr="00A44936">
        <w:t xml:space="preserve">HHSs may link these action plans to Health Equity Strategy efforts required under the </w:t>
      </w:r>
      <w:r w:rsidRPr="00A44936">
        <w:rPr>
          <w:i/>
          <w:iCs/>
        </w:rPr>
        <w:t>Making Tracks Together- Queensland’s Aboriginal and Torres Strait Islander Health Equity Framework.</w:t>
      </w:r>
      <w:r w:rsidR="0089313E">
        <w:rPr>
          <w:vertAlign w:val="superscript"/>
        </w:rPr>
        <w:t>6</w:t>
      </w:r>
    </w:p>
    <w:tbl>
      <w:tblPr>
        <w:tblStyle w:val="TableGrid"/>
        <w:tblW w:w="0" w:type="auto"/>
        <w:tblLook w:val="04A0" w:firstRow="1" w:lastRow="0" w:firstColumn="1" w:lastColumn="0" w:noHBand="0" w:noVBand="1"/>
      </w:tblPr>
      <w:tblGrid>
        <w:gridCol w:w="10480"/>
      </w:tblGrid>
      <w:tr w:rsidR="00160E3E" w14:paraId="0F5A7F44" w14:textId="77777777" w:rsidTr="00160E3E">
        <w:tc>
          <w:tcPr>
            <w:tcW w:w="10480" w:type="dxa"/>
          </w:tcPr>
          <w:p w14:paraId="5FC122A2" w14:textId="02E48698" w:rsidR="00160E3E" w:rsidRPr="00160E3E" w:rsidRDefault="00160E3E" w:rsidP="00A44936">
            <w:pPr>
              <w:rPr>
                <w:vertAlign w:val="superscript"/>
              </w:rPr>
            </w:pPr>
            <w:bookmarkStart w:id="0" w:name="_Hlk159250349"/>
            <w:r w:rsidRPr="00A44936">
              <w:rPr>
                <w:b/>
                <w:bCs/>
              </w:rPr>
              <w:t xml:space="preserve">QAIHC recommends </w:t>
            </w:r>
            <w:proofErr w:type="spellStart"/>
            <w:r w:rsidRPr="00A44936">
              <w:rPr>
                <w:b/>
                <w:bCs/>
              </w:rPr>
              <w:t>BreastScreen</w:t>
            </w:r>
            <w:proofErr w:type="spellEnd"/>
            <w:r w:rsidRPr="00A44936">
              <w:rPr>
                <w:b/>
                <w:bCs/>
              </w:rPr>
              <w:t xml:space="preserve"> Queensland</w:t>
            </w:r>
            <w:r w:rsidR="0065423D">
              <w:rPr>
                <w:b/>
                <w:bCs/>
              </w:rPr>
              <w:t xml:space="preserve"> (BSQ)</w:t>
            </w:r>
            <w:r w:rsidRPr="00A44936">
              <w:rPr>
                <w:b/>
                <w:bCs/>
              </w:rPr>
              <w:t xml:space="preserve"> considers a formal </w:t>
            </w:r>
            <w:proofErr w:type="spellStart"/>
            <w:r w:rsidR="007D5D41">
              <w:rPr>
                <w:b/>
                <w:bCs/>
              </w:rPr>
              <w:t>parternship</w:t>
            </w:r>
            <w:proofErr w:type="spellEnd"/>
            <w:r w:rsidRPr="00A44936">
              <w:rPr>
                <w:b/>
                <w:bCs/>
              </w:rPr>
              <w:t xml:space="preserve"> between QAIHC and </w:t>
            </w:r>
            <w:proofErr w:type="spellStart"/>
            <w:r w:rsidRPr="00A44936">
              <w:rPr>
                <w:b/>
                <w:bCs/>
              </w:rPr>
              <w:t>BreastScreen</w:t>
            </w:r>
            <w:proofErr w:type="spellEnd"/>
            <w:r w:rsidRPr="00A44936">
              <w:rPr>
                <w:b/>
                <w:bCs/>
              </w:rPr>
              <w:t xml:space="preserve"> Queensland with specific resourcing to assist with coordinating BSQ collaborations with ACCHOs to enhance access and uptake to breast screening </w:t>
            </w:r>
            <w:r w:rsidR="007B14CD" w:rsidRPr="00A44936">
              <w:rPr>
                <w:b/>
                <w:bCs/>
              </w:rPr>
              <w:t>services</w:t>
            </w:r>
            <w:r w:rsidR="007B14CD">
              <w:rPr>
                <w:b/>
                <w:bCs/>
              </w:rPr>
              <w:t xml:space="preserve"> and</w:t>
            </w:r>
            <w:r w:rsidR="007D5D41">
              <w:rPr>
                <w:b/>
                <w:bCs/>
              </w:rPr>
              <w:t xml:space="preserve"> contribute to Closing the Gap in life expectancy by 2031</w:t>
            </w:r>
            <w:r w:rsidRPr="00A44936">
              <w:rPr>
                <w:b/>
                <w:bCs/>
              </w:rPr>
              <w:t>.</w:t>
            </w:r>
          </w:p>
        </w:tc>
      </w:tr>
      <w:bookmarkEnd w:id="0"/>
    </w:tbl>
    <w:p w14:paraId="7F7A1A69" w14:textId="5732E427" w:rsidR="00C41085" w:rsidRDefault="00C41085" w:rsidP="00C41085">
      <w:pPr>
        <w:pStyle w:val="Heading2"/>
      </w:pPr>
    </w:p>
    <w:p w14:paraId="60723F85" w14:textId="4CBC9EDE" w:rsidR="00C41085" w:rsidRPr="00C41085" w:rsidRDefault="00C41085" w:rsidP="00C41085">
      <w:pPr>
        <w:pStyle w:val="Heading2"/>
      </w:pPr>
      <w:r>
        <w:t>Culturally appropriate follow up</w:t>
      </w:r>
    </w:p>
    <w:p w14:paraId="027855A6" w14:textId="140C1B36" w:rsidR="007E4E9D" w:rsidRDefault="009368C2" w:rsidP="00C41085">
      <w:r>
        <w:t>QAIHC</w:t>
      </w:r>
      <w:r w:rsidR="00BA4267" w:rsidRPr="00BA4267">
        <w:t xml:space="preserve"> understand</w:t>
      </w:r>
      <w:r>
        <w:t>s</w:t>
      </w:r>
      <w:r w:rsidR="00BA4267" w:rsidRPr="00BA4267">
        <w:t xml:space="preserve"> that if a GP is not identified at the timing of screening, then abnormal screening results are followed up by the </w:t>
      </w:r>
      <w:proofErr w:type="spellStart"/>
      <w:r w:rsidR="00BA4267" w:rsidRPr="00BA4267">
        <w:t>BreastScreen</w:t>
      </w:r>
      <w:proofErr w:type="spellEnd"/>
      <w:r w:rsidR="00BA4267" w:rsidRPr="00BA4267">
        <w:t xml:space="preserve"> Queensland clinical staff with the patient directly which may or may not be culturally appropriate. If the screening result does not indicate any sign of cancer but the patient still requires further diagnostic work-up, the patient is contacted via mail to recommend discussing this process their health care provider. There are </w:t>
      </w:r>
      <w:proofErr w:type="gramStart"/>
      <w:r w:rsidR="00BA4267" w:rsidRPr="00BA4267">
        <w:t>a number of</w:t>
      </w:r>
      <w:proofErr w:type="gramEnd"/>
      <w:r w:rsidR="00BA4267" w:rsidRPr="00BA4267">
        <w:t xml:space="preserve"> issues with this, including some patients not having a fixed address, so linking in directly with ACCHOs to ensure adequate follow up of patients is essential to providing </w:t>
      </w:r>
      <w:r w:rsidR="00DD0610">
        <w:t xml:space="preserve">and connecting </w:t>
      </w:r>
      <w:r w:rsidR="00BA4267" w:rsidRPr="00BA4267">
        <w:t>ongoing care</w:t>
      </w:r>
      <w:r w:rsidR="00DD0610">
        <w:t xml:space="preserve"> across the patient journey</w:t>
      </w:r>
      <w:r w:rsidR="00BA4267" w:rsidRPr="00BA4267">
        <w:t xml:space="preserve">. </w:t>
      </w:r>
    </w:p>
    <w:p w14:paraId="5723F373" w14:textId="17787049" w:rsidR="00BA4267" w:rsidRPr="00BA4267" w:rsidRDefault="00BA4267" w:rsidP="00C41085">
      <w:proofErr w:type="spellStart"/>
      <w:r w:rsidRPr="00BA4267">
        <w:lastRenderedPageBreak/>
        <w:t>BreastScreen</w:t>
      </w:r>
      <w:proofErr w:type="spellEnd"/>
      <w:r w:rsidRPr="00BA4267">
        <w:t xml:space="preserve"> Australia could also work with local ACCHOs to organise follow up phone calls</w:t>
      </w:r>
      <w:r w:rsidR="00E11F67">
        <w:t xml:space="preserve">, </w:t>
      </w:r>
      <w:r w:rsidRPr="00BA4267">
        <w:t>visits</w:t>
      </w:r>
      <w:r w:rsidR="00E11F67">
        <w:t xml:space="preserve"> or support from an Aboriginal and Torres Strait Islander Health Worker</w:t>
      </w:r>
      <w:r w:rsidRPr="00BA4267">
        <w:t xml:space="preserve"> for patients to check in post-screening and discuss their experience, </w:t>
      </w:r>
      <w:r w:rsidR="0077120B">
        <w:t xml:space="preserve">barriers </w:t>
      </w:r>
      <w:r w:rsidRPr="00BA4267">
        <w:t>and future management options. Such linkages may be formalised through agreements with ACCHOs that can be facilitated through QAIHC.</w:t>
      </w:r>
    </w:p>
    <w:p w14:paraId="786D1BEF" w14:textId="28A76AE2" w:rsidR="000916A3" w:rsidRPr="006F6DB2" w:rsidRDefault="000916A3" w:rsidP="000916A3">
      <w:pPr>
        <w:pStyle w:val="Heading2"/>
      </w:pPr>
      <w:r>
        <w:t>Continuity of care</w:t>
      </w:r>
    </w:p>
    <w:p w14:paraId="1FD550AA" w14:textId="28044EEB" w:rsidR="006F6DB2" w:rsidRPr="006F6DB2" w:rsidRDefault="006F6DB2" w:rsidP="006F6DB2">
      <w:r w:rsidRPr="006F6DB2">
        <w:t xml:space="preserve">The </w:t>
      </w:r>
      <w:r w:rsidRPr="00F71FA1">
        <w:rPr>
          <w:i/>
          <w:iCs/>
        </w:rPr>
        <w:t xml:space="preserve">Breast Screen Australia monitoring report </w:t>
      </w:r>
      <w:r w:rsidR="004A0FC6" w:rsidRPr="00F71FA1">
        <w:rPr>
          <w:i/>
          <w:iCs/>
        </w:rPr>
        <w:t>2023</w:t>
      </w:r>
      <w:r w:rsidR="004A0FC6" w:rsidRPr="006F6DB2">
        <w:t xml:space="preserve"> </w:t>
      </w:r>
      <w:r w:rsidRPr="006F6DB2">
        <w:t xml:space="preserve">discussed the significantly lower participation rates in 2020 and 2021 from the initial suspension of </w:t>
      </w:r>
      <w:proofErr w:type="spellStart"/>
      <w:r w:rsidRPr="006F6DB2">
        <w:t>BreastScreen</w:t>
      </w:r>
      <w:proofErr w:type="spellEnd"/>
      <w:r w:rsidRPr="006F6DB2">
        <w:t xml:space="preserve"> services in the COVID-19 pandemic, and then </w:t>
      </w:r>
      <w:r w:rsidR="007E4E9D">
        <w:t xml:space="preserve">a </w:t>
      </w:r>
      <w:r w:rsidRPr="006F6DB2">
        <w:t>reduction in services coinciding with ongoing COVID-19 restrictions. After these restrictions were lifted, the report noted ongoing hesitance to seek essential services like healthcare.</w:t>
      </w:r>
      <w:r w:rsidRPr="006F6DB2">
        <w:rPr>
          <w:vertAlign w:val="superscript"/>
        </w:rPr>
        <w:t>1</w:t>
      </w:r>
      <w:r w:rsidRPr="006F6DB2">
        <w:t xml:space="preserve"> </w:t>
      </w:r>
      <w:r w:rsidR="007E4E9D">
        <w:t xml:space="preserve">The broader impact of health system functioning may impact adversely and disproportionately on the Aboriginal and Torres Strait Islander community than on other Australians. </w:t>
      </w:r>
      <w:r w:rsidR="00B630B0">
        <w:t>This requires ongoing vigilance and monitoring to address.</w:t>
      </w:r>
    </w:p>
    <w:p w14:paraId="7AD7B955" w14:textId="485173A2" w:rsidR="000916A3" w:rsidRDefault="000916A3" w:rsidP="000916A3">
      <w:pPr>
        <w:pStyle w:val="Heading2"/>
      </w:pPr>
      <w:r>
        <w:t>Addressing primordial risk factors</w:t>
      </w:r>
    </w:p>
    <w:p w14:paraId="55844493" w14:textId="485457DA" w:rsidR="006F6DB2" w:rsidRDefault="006F6DB2" w:rsidP="006F6DB2">
      <w:r w:rsidRPr="006F6DB2">
        <w:t xml:space="preserve">Ultimately, </w:t>
      </w:r>
      <w:r w:rsidR="00B630B0">
        <w:t xml:space="preserve">the </w:t>
      </w:r>
      <w:r w:rsidRPr="006F6DB2">
        <w:t>social determinants of health (</w:t>
      </w:r>
      <w:proofErr w:type="gramStart"/>
      <w:r w:rsidRPr="006F6DB2">
        <w:t>e.g.</w:t>
      </w:r>
      <w:proofErr w:type="gramEnd"/>
      <w:r w:rsidRPr="006F6DB2">
        <w:t xml:space="preserve"> education, employment, poverty and housing) are key barriers to cancer screening. Whilst action plans for </w:t>
      </w:r>
      <w:r w:rsidR="00B819DD">
        <w:t>b</w:t>
      </w:r>
      <w:r w:rsidRPr="006F6DB2">
        <w:t xml:space="preserve">reast </w:t>
      </w:r>
      <w:r w:rsidR="00B630B0">
        <w:t xml:space="preserve">cancer </w:t>
      </w:r>
      <w:r w:rsidRPr="006F6DB2">
        <w:t>screening services cannot directly address these determinants, it is through partnership with comprehensive primary health care services that health equity gains can occur.  ACCHOs can identify the patients who underutilise health services and need additional supports to access health care as well as a range of other social supports.</w:t>
      </w:r>
      <w:r w:rsidRPr="006F6DB2">
        <w:rPr>
          <w:vertAlign w:val="superscript"/>
        </w:rPr>
        <w:footnoteReference w:id="16"/>
      </w:r>
      <w:r w:rsidRPr="006F6DB2">
        <w:rPr>
          <w:vertAlign w:val="superscript"/>
        </w:rPr>
        <w:t>,</w:t>
      </w:r>
      <w:r w:rsidRPr="006F6DB2">
        <w:rPr>
          <w:vertAlign w:val="superscript"/>
        </w:rPr>
        <w:footnoteReference w:id="17"/>
      </w:r>
      <w:r w:rsidRPr="006F6DB2">
        <w:rPr>
          <w:vertAlign w:val="superscript"/>
        </w:rPr>
        <w:t>,</w:t>
      </w:r>
      <w:r w:rsidRPr="006F6DB2">
        <w:rPr>
          <w:vertAlign w:val="superscript"/>
        </w:rPr>
        <w:footnoteReference w:id="18"/>
      </w:r>
      <w:r w:rsidRPr="006F6DB2">
        <w:t xml:space="preserve"> </w:t>
      </w:r>
    </w:p>
    <w:p w14:paraId="5F472DC9" w14:textId="688F92C3" w:rsidR="001E5BE8" w:rsidRDefault="005E651C" w:rsidP="00B56FE1">
      <w:r w:rsidRPr="006F6DB2">
        <w:t xml:space="preserve">Health systems and programs that utilise, and resource a robust, viable and comprehensive primary health care system offer best practice opportunities for breast cancer screening. </w:t>
      </w:r>
      <w:proofErr w:type="gramStart"/>
      <w:r w:rsidRPr="006F6DB2">
        <w:t>All of</w:t>
      </w:r>
      <w:proofErr w:type="gramEnd"/>
      <w:r w:rsidRPr="006F6DB2">
        <w:t xml:space="preserve"> the suggestions outlined previously (including </w:t>
      </w:r>
      <w:r w:rsidR="00762CD1">
        <w:t xml:space="preserve">formal </w:t>
      </w:r>
      <w:r w:rsidRPr="006F6DB2">
        <w:t xml:space="preserve">partnership with </w:t>
      </w:r>
      <w:r w:rsidR="00E07C95">
        <w:t xml:space="preserve">the Aboriginal and Torres Strait Islander </w:t>
      </w:r>
      <w:r w:rsidRPr="006F6DB2">
        <w:t xml:space="preserve">community, </w:t>
      </w:r>
      <w:r w:rsidR="00E07C95">
        <w:t xml:space="preserve">addressing cultural barriers to health inequity, </w:t>
      </w:r>
      <w:r w:rsidRPr="006F6DB2">
        <w:t xml:space="preserve">transport support, health </w:t>
      </w:r>
      <w:r w:rsidR="00E07C95">
        <w:t xml:space="preserve">prevention and </w:t>
      </w:r>
      <w:r w:rsidRPr="006F6DB2">
        <w:t>promotion</w:t>
      </w:r>
      <w:r w:rsidR="00E07C95">
        <w:t xml:space="preserve"> activities</w:t>
      </w:r>
      <w:r w:rsidRPr="006F6DB2">
        <w:t xml:space="preserve">) will break down access barriers and reduce the negative impacts of social determinants of health. </w:t>
      </w:r>
    </w:p>
    <w:tbl>
      <w:tblPr>
        <w:tblStyle w:val="TableGrid"/>
        <w:tblW w:w="0" w:type="auto"/>
        <w:tblLook w:val="04A0" w:firstRow="1" w:lastRow="0" w:firstColumn="1" w:lastColumn="0" w:noHBand="0" w:noVBand="1"/>
      </w:tblPr>
      <w:tblGrid>
        <w:gridCol w:w="10480"/>
      </w:tblGrid>
      <w:tr w:rsidR="00B56FE1" w14:paraId="0543BA9A" w14:textId="77777777" w:rsidTr="00B56FE1">
        <w:tc>
          <w:tcPr>
            <w:tcW w:w="10480" w:type="dxa"/>
          </w:tcPr>
          <w:p w14:paraId="3F1D5FAF" w14:textId="64EC8AF3" w:rsidR="00B56FE1" w:rsidRPr="00536C4F" w:rsidRDefault="00B56FE1" w:rsidP="00536C4F">
            <w:pPr>
              <w:pStyle w:val="Heading2"/>
            </w:pPr>
            <w:r w:rsidRPr="00536C4F">
              <w:lastRenderedPageBreak/>
              <w:t>Case study</w:t>
            </w:r>
          </w:p>
          <w:p w14:paraId="1DD34586" w14:textId="77777777" w:rsidR="001F66AB" w:rsidRDefault="00B56FE1" w:rsidP="00B56FE1">
            <w:r>
              <w:t xml:space="preserve">A positive case study is the collaborative work between </w:t>
            </w:r>
            <w:proofErr w:type="spellStart"/>
            <w:r>
              <w:t>BreastScreen</w:t>
            </w:r>
            <w:proofErr w:type="spellEnd"/>
            <w:r>
              <w:t xml:space="preserve"> Queensland, Sunshine Coast Hospital and Health Service and North Coast Aboriginal Corporation for Community Health (NCACCH). Commencing a partnership in 2007, the three services have been holding regular </w:t>
            </w:r>
            <w:proofErr w:type="spellStart"/>
            <w:r>
              <w:t>BreastScreen</w:t>
            </w:r>
            <w:proofErr w:type="spellEnd"/>
            <w:r>
              <w:t xml:space="preserve"> clinics across numerous locations within the Sunshine Coast and Gympie region. </w:t>
            </w:r>
          </w:p>
          <w:p w14:paraId="3737FA45" w14:textId="77777777" w:rsidR="001F66AB" w:rsidRDefault="001F66AB" w:rsidP="00B56FE1"/>
          <w:p w14:paraId="74EBF9DD" w14:textId="4D1EF208" w:rsidR="00B56FE1" w:rsidRDefault="00B56FE1" w:rsidP="00B56FE1">
            <w:r>
              <w:t>With six dedicated clinics held yearly, each service coordinates and commits staff to their nominated clinic location/s as well as assisting with transport, morning teas and providing a confidential and comfortable space. There are also mobile vans that visit remote areas, and a yearly professional development day for Aboriginal and/or Torres Strait Islander health workers including a tour of the Nambour clinic and meeting the breast screening staff.</w:t>
            </w:r>
          </w:p>
          <w:p w14:paraId="145EBCB4" w14:textId="77777777" w:rsidR="001F66AB" w:rsidRDefault="001F66AB" w:rsidP="00B56FE1"/>
          <w:p w14:paraId="1BDD9464" w14:textId="2F69CB48" w:rsidR="00B56FE1" w:rsidRDefault="00B56FE1" w:rsidP="00B56FE1">
            <w:r>
              <w:t>In addition, quarterly yarning circles between relevant Aboriginal and/or Torres Strait Islander agencies were commenced in 2019 to discuss various projects and collaborations to increase uptake of Aboriginal and/or Torres Strait Islander women</w:t>
            </w:r>
            <w:r w:rsidR="00195428">
              <w:t xml:space="preserve">. For consideration is the </w:t>
            </w:r>
            <w:r>
              <w:t>shawl project, where customised screening shawls designed by local talented Aboriginal and Torres Strait Islander women and artists are provided to the women, which has been successfully rolled out in other parts of Queensland.</w:t>
            </w:r>
            <w:r>
              <w:rPr>
                <w:vertAlign w:val="superscript"/>
              </w:rPr>
              <w:t>10</w:t>
            </w:r>
            <w:r>
              <w:t xml:space="preserve"> </w:t>
            </w:r>
          </w:p>
          <w:p w14:paraId="3AAC7650" w14:textId="77777777" w:rsidR="00B56FE1" w:rsidRDefault="00B56FE1" w:rsidP="000E56EB"/>
        </w:tc>
      </w:tr>
    </w:tbl>
    <w:p w14:paraId="7F62B75A" w14:textId="1879BFE2" w:rsidR="00755DF1" w:rsidRPr="008F52D4" w:rsidRDefault="00755DF1" w:rsidP="00755DF1">
      <w:pPr>
        <w:pStyle w:val="Heading1"/>
      </w:pPr>
      <w:r>
        <w:t>Risks</w:t>
      </w:r>
    </w:p>
    <w:p w14:paraId="61142082" w14:textId="77777777" w:rsidR="00755DF1" w:rsidRPr="00755DF1" w:rsidRDefault="00755DF1" w:rsidP="00755DF1">
      <w:r w:rsidRPr="00755DF1">
        <w:t xml:space="preserve">While the potential risk of overdiagnosis and unnecessary investigation is there, the bigger issue in Aboriginal and Torres Strait Islander women is reduced uptake of screening and delayed diagnosis leading to an increased mortality rate. </w:t>
      </w:r>
    </w:p>
    <w:p w14:paraId="78B2BD0F" w14:textId="7417E7A9" w:rsidR="002117E8" w:rsidRPr="002117E8" w:rsidRDefault="00755DF1" w:rsidP="00755DF1">
      <w:pPr>
        <w:pStyle w:val="Heading1"/>
      </w:pPr>
      <w:r>
        <w:t>Recommendations</w:t>
      </w:r>
    </w:p>
    <w:p w14:paraId="375A544D" w14:textId="729884CE" w:rsidR="00755DF1" w:rsidRDefault="00755DF1" w:rsidP="00D01147">
      <w:pPr>
        <w:pStyle w:val="ListParagraph"/>
        <w:numPr>
          <w:ilvl w:val="0"/>
          <w:numId w:val="34"/>
        </w:numPr>
      </w:pPr>
      <w:r w:rsidRPr="00755DF1">
        <w:t xml:space="preserve">QAIHC recommends </w:t>
      </w:r>
      <w:proofErr w:type="spellStart"/>
      <w:r w:rsidRPr="00755DF1">
        <w:t>BreastScreen</w:t>
      </w:r>
      <w:proofErr w:type="spellEnd"/>
      <w:r w:rsidRPr="00755DF1">
        <w:t xml:space="preserve"> Queensland </w:t>
      </w:r>
      <w:r w:rsidR="00061A68">
        <w:t xml:space="preserve">(BSQ) </w:t>
      </w:r>
      <w:r w:rsidRPr="00755DF1">
        <w:t xml:space="preserve">considers a formal agreement between QAIHC and </w:t>
      </w:r>
      <w:r w:rsidR="009B75BF">
        <w:t>BSQ</w:t>
      </w:r>
      <w:r w:rsidRPr="00755DF1">
        <w:t xml:space="preserve"> with specific resourcing to assist with coordinating BSQ collaborations with ACCHOs to </w:t>
      </w:r>
      <w:r w:rsidR="002070DA">
        <w:t xml:space="preserve">streamline and standardise </w:t>
      </w:r>
      <w:r w:rsidRPr="00755DF1">
        <w:t>enhance</w:t>
      </w:r>
      <w:r w:rsidR="002070DA">
        <w:t>d</w:t>
      </w:r>
      <w:r w:rsidRPr="00755DF1">
        <w:t xml:space="preserve"> access and uptake to breast </w:t>
      </w:r>
      <w:r w:rsidR="002070DA">
        <w:t xml:space="preserve">cancer </w:t>
      </w:r>
      <w:r w:rsidRPr="00755DF1">
        <w:t>screening services.</w:t>
      </w:r>
    </w:p>
    <w:p w14:paraId="33E0CE39" w14:textId="61B08E9B" w:rsidR="00DB3547" w:rsidRDefault="00DB3547" w:rsidP="00DB3547">
      <w:pPr>
        <w:pStyle w:val="ListParagraph"/>
        <w:numPr>
          <w:ilvl w:val="0"/>
          <w:numId w:val="34"/>
        </w:numPr>
      </w:pPr>
      <w:r>
        <w:t xml:space="preserve">QAIHC recommends formal local engagement between </w:t>
      </w:r>
      <w:proofErr w:type="spellStart"/>
      <w:r>
        <w:t>BreastScreen</w:t>
      </w:r>
      <w:proofErr w:type="spellEnd"/>
      <w:r>
        <w:t xml:space="preserve"> Australia local services and local ACCHOs to </w:t>
      </w:r>
      <w:r w:rsidR="00D160AA">
        <w:t xml:space="preserve">tailor health services to the community’s needs </w:t>
      </w:r>
      <w:r w:rsidR="00A85332">
        <w:t>and</w:t>
      </w:r>
      <w:r w:rsidR="008D097E">
        <w:t xml:space="preserve"> ensure culturally appropriate follow up is </w:t>
      </w:r>
      <w:r w:rsidR="00D160AA">
        <w:t>maintained.</w:t>
      </w:r>
    </w:p>
    <w:p w14:paraId="403B5410" w14:textId="7C4E995C" w:rsidR="00EC7F5A" w:rsidRDefault="00521CB1" w:rsidP="00E729B0">
      <w:pPr>
        <w:pStyle w:val="ListParagraph"/>
        <w:numPr>
          <w:ilvl w:val="0"/>
          <w:numId w:val="34"/>
        </w:numPr>
      </w:pPr>
      <w:r>
        <w:t>QAIHC recommends h</w:t>
      </w:r>
      <w:r w:rsidR="00061A68">
        <w:t>ealth services</w:t>
      </w:r>
      <w:r>
        <w:t xml:space="preserve"> involved with breast screening services</w:t>
      </w:r>
      <w:r w:rsidR="00061A68">
        <w:t xml:space="preserve">, including </w:t>
      </w:r>
      <w:proofErr w:type="spellStart"/>
      <w:r w:rsidR="00061A68">
        <w:t>BreastScreen</w:t>
      </w:r>
      <w:proofErr w:type="spellEnd"/>
      <w:r w:rsidR="00061A68">
        <w:t xml:space="preserve"> Queensland,</w:t>
      </w:r>
      <w:r w:rsidR="00B333CB">
        <w:t xml:space="preserve"> should link any a</w:t>
      </w:r>
      <w:r w:rsidR="00E729B0">
        <w:t xml:space="preserve">ction plans </w:t>
      </w:r>
      <w:r w:rsidR="00B333CB">
        <w:t xml:space="preserve">to the </w:t>
      </w:r>
      <w:r w:rsidR="00E729B0" w:rsidRPr="00A44936">
        <w:t xml:space="preserve">Health Equity Strategy efforts required under the </w:t>
      </w:r>
      <w:r w:rsidR="00E729B0" w:rsidRPr="00E729B0">
        <w:rPr>
          <w:i/>
          <w:iCs/>
        </w:rPr>
        <w:t>Making Tracks Together- Queensland’s Aboriginal and Torres Strait Islander Health Equity Framework</w:t>
      </w:r>
      <w:r w:rsidR="00334775">
        <w:rPr>
          <w:i/>
          <w:iCs/>
        </w:rPr>
        <w:t>.</w:t>
      </w:r>
      <w:r w:rsidR="00334775">
        <w:rPr>
          <w:vertAlign w:val="superscript"/>
        </w:rPr>
        <w:t>6</w:t>
      </w:r>
      <w:r w:rsidR="00E729B0">
        <w:t xml:space="preserve"> </w:t>
      </w:r>
    </w:p>
    <w:p w14:paraId="107C2732" w14:textId="7BE41D87" w:rsidR="006A15A3" w:rsidRDefault="006B78A5" w:rsidP="00AA1658">
      <w:pPr>
        <w:pStyle w:val="ListParagraph"/>
        <w:numPr>
          <w:ilvl w:val="0"/>
          <w:numId w:val="34"/>
        </w:numPr>
      </w:pPr>
      <w:r>
        <w:t>QAIHC recommends e</w:t>
      </w:r>
      <w:r w:rsidR="00950F35">
        <w:t xml:space="preserve">valuation reports of breast </w:t>
      </w:r>
      <w:r w:rsidR="002070DA">
        <w:t xml:space="preserve">cancer </w:t>
      </w:r>
      <w:r w:rsidR="00950F35">
        <w:t>screening services in Aboriginal and Torres Strait Islander women should be shared with the ACCHO sector to foster continuous quality improvement.</w:t>
      </w:r>
    </w:p>
    <w:p w14:paraId="317084B5" w14:textId="78DEB975" w:rsidR="00C833F2" w:rsidRDefault="00C833F2" w:rsidP="00AA1658">
      <w:pPr>
        <w:pStyle w:val="ListParagraph"/>
        <w:numPr>
          <w:ilvl w:val="0"/>
          <w:numId w:val="34"/>
        </w:numPr>
      </w:pPr>
      <w:r>
        <w:t xml:space="preserve">QAICH recommends ongoing quantitative and qualitative monitoring of uptake of breast screening services in Aboriginal and Torres Strait Islander women including appropriate patient experience measures. </w:t>
      </w:r>
    </w:p>
    <w:sectPr w:rsidR="00C833F2" w:rsidSect="0008004A">
      <w:headerReference w:type="default" r:id="rId11"/>
      <w:footerReference w:type="default" r:id="rId12"/>
      <w:headerReference w:type="first" r:id="rId13"/>
      <w:footerReference w:type="first" r:id="rId14"/>
      <w:pgSz w:w="11906" w:h="16838"/>
      <w:pgMar w:top="2464" w:right="708" w:bottom="1701" w:left="70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8AE66" w14:textId="77777777" w:rsidR="00E0401F" w:rsidRDefault="00E0401F" w:rsidP="007B4073">
      <w:pPr>
        <w:spacing w:after="0" w:line="240" w:lineRule="auto"/>
      </w:pPr>
      <w:r>
        <w:separator/>
      </w:r>
    </w:p>
  </w:endnote>
  <w:endnote w:type="continuationSeparator" w:id="0">
    <w:p w14:paraId="0D8C33A4" w14:textId="77777777" w:rsidR="00E0401F" w:rsidRDefault="00E0401F" w:rsidP="007B4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SemiBold">
    <w:panose1 w:val="020B0603050000020004"/>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Book">
    <w:altName w:val="Calibri"/>
    <w:panose1 w:val="00000000000000000000"/>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6AE3" w14:textId="3C42AF7A" w:rsidR="00087774" w:rsidRPr="00D56ADF" w:rsidRDefault="00D56ADF" w:rsidP="00D56ADF">
    <w:pPr>
      <w:pStyle w:val="Footer"/>
      <w:tabs>
        <w:tab w:val="clear" w:pos="4513"/>
        <w:tab w:val="clear" w:pos="9026"/>
      </w:tabs>
      <w:ind w:left="12" w:hanging="12"/>
      <w:rPr>
        <w:rFonts w:ascii="Fira Sans Book" w:hAnsi="Fira Sans Book"/>
      </w:rPr>
    </w:pPr>
    <w:r w:rsidRPr="0069386D">
      <w:rPr>
        <w:rFonts w:ascii="Fira Sans SemiBold" w:hAnsi="Fira Sans SemiBold"/>
        <w:b/>
        <w:bCs/>
        <w:i/>
        <w:iCs/>
        <w:noProof/>
        <w:color w:val="FFFFFF" w:themeColor="background1"/>
        <w:sz w:val="32"/>
        <w:szCs w:val="32"/>
      </w:rPr>
      <w:t>www.qaihc.com.au</w:t>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sidRPr="0069386D">
      <w:rPr>
        <w:rFonts w:ascii="Fira Sans Book" w:hAnsi="Fira Sans Book"/>
        <w:noProof/>
        <w:color w:val="FFFFFF" w:themeColor="background1"/>
      </w:rPr>
      <w:tab/>
    </w:r>
    <w:r w:rsidRPr="0069386D">
      <w:rPr>
        <w:rFonts w:ascii="Fira Sans Book" w:hAnsi="Fira Sans Book"/>
        <w:noProof/>
        <w:color w:val="FFFFFF" w:themeColor="background1"/>
      </w:rPr>
      <w:tab/>
      <w:t xml:space="preserve"> </w:t>
    </w:r>
    <w:r>
      <w:rPr>
        <w:rFonts w:ascii="Fira Sans Book" w:hAnsi="Fira Sans Book"/>
        <w:noProof/>
        <w:color w:val="FFFFFF" w:themeColor="background1"/>
      </w:rPr>
      <w:t xml:space="preserve">  </w:t>
    </w:r>
    <w:r w:rsidRPr="0069386D">
      <w:rPr>
        <w:rFonts w:ascii="Fira Sans Book" w:hAnsi="Fira Sans Book"/>
        <w:color w:val="FFFFFF" w:themeColor="background1"/>
      </w:rPr>
      <w:t xml:space="preserve">  </w:t>
    </w:r>
    <w:r w:rsidRPr="0069386D">
      <w:rPr>
        <w:rFonts w:ascii="Fira Sans Book" w:hAnsi="Fira Sans Book"/>
        <w:noProof/>
        <w:color w:val="FFFFFF" w:themeColor="background1"/>
      </w:rPr>
      <w:fldChar w:fldCharType="begin"/>
    </w:r>
    <w:r w:rsidRPr="0069386D">
      <w:rPr>
        <w:rFonts w:ascii="Fira Sans Book" w:hAnsi="Fira Sans Book"/>
        <w:noProof/>
        <w:color w:val="FFFFFF" w:themeColor="background1"/>
      </w:rPr>
      <w:instrText xml:space="preserve"> PAGE   \* MERGEFORMAT </w:instrText>
    </w:r>
    <w:r w:rsidRPr="0069386D">
      <w:rPr>
        <w:rFonts w:ascii="Fira Sans Book" w:hAnsi="Fira Sans Book"/>
        <w:noProof/>
        <w:color w:val="FFFFFF" w:themeColor="background1"/>
      </w:rPr>
      <w:fldChar w:fldCharType="separate"/>
    </w:r>
    <w:r>
      <w:rPr>
        <w:rFonts w:ascii="Fira Sans Book" w:hAnsi="Fira Sans Book"/>
        <w:noProof/>
        <w:color w:val="FFFFFF" w:themeColor="background1"/>
      </w:rPr>
      <w:t>1</w:t>
    </w:r>
    <w:r w:rsidRPr="0069386D">
      <w:rPr>
        <w:rFonts w:ascii="Fira Sans Book" w:hAnsi="Fira Sans Book"/>
        <w:noProof/>
        <w:color w:val="FFFFFF" w:themeColor="background1"/>
      </w:rPr>
      <w:fldChar w:fldCharType="end"/>
    </w:r>
    <w:r w:rsidRPr="0069386D">
      <w:rPr>
        <w:rFonts w:ascii="Fira Sans Book" w:hAnsi="Fira Sans Book"/>
        <w:noProof/>
      </w:rPr>
      <w:drawing>
        <wp:anchor distT="0" distB="0" distL="114300" distR="114300" simplePos="0" relativeHeight="251665408" behindDoc="1" locked="1" layoutInCell="1" allowOverlap="1" wp14:anchorId="73D6013E" wp14:editId="73FAA03B">
          <wp:simplePos x="0" y="0"/>
          <wp:positionH relativeFrom="page">
            <wp:posOffset>0</wp:posOffset>
          </wp:positionH>
          <wp:positionV relativeFrom="page">
            <wp:posOffset>9803130</wp:posOffset>
          </wp:positionV>
          <wp:extent cx="7559675" cy="880110"/>
          <wp:effectExtent l="0" t="0" r="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6D">
      <w:rPr>
        <w:rFonts w:ascii="Fira Sans Book" w:hAnsi="Fira Sans Book"/>
        <w:noProof/>
      </w:rPr>
      <w:drawing>
        <wp:anchor distT="0" distB="0" distL="114300" distR="114300" simplePos="0" relativeHeight="251664384" behindDoc="1" locked="1" layoutInCell="1" allowOverlap="1" wp14:anchorId="70E1E93F" wp14:editId="25BE12CB">
          <wp:simplePos x="0" y="0"/>
          <wp:positionH relativeFrom="page">
            <wp:posOffset>-3810</wp:posOffset>
          </wp:positionH>
          <wp:positionV relativeFrom="page">
            <wp:posOffset>9801225</wp:posOffset>
          </wp:positionV>
          <wp:extent cx="7559675" cy="880110"/>
          <wp:effectExtent l="0" t="0" r="0" b="0"/>
          <wp:wrapNone/>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A398" w14:textId="401A42A5" w:rsidR="00C87CB2" w:rsidRPr="0069386D" w:rsidRDefault="0069386D" w:rsidP="0069386D">
    <w:pPr>
      <w:pStyle w:val="Footer"/>
      <w:tabs>
        <w:tab w:val="clear" w:pos="4513"/>
        <w:tab w:val="clear" w:pos="9026"/>
      </w:tabs>
      <w:ind w:left="12" w:hanging="12"/>
      <w:rPr>
        <w:rFonts w:ascii="Fira Sans Book" w:hAnsi="Fira Sans Book"/>
      </w:rPr>
    </w:pPr>
    <w:r w:rsidRPr="0069386D">
      <w:rPr>
        <w:rFonts w:ascii="Fira Sans SemiBold" w:hAnsi="Fira Sans SemiBold"/>
        <w:b/>
        <w:bCs/>
        <w:i/>
        <w:iCs/>
        <w:noProof/>
        <w:color w:val="FFFFFF" w:themeColor="background1"/>
        <w:sz w:val="32"/>
        <w:szCs w:val="32"/>
      </w:rPr>
      <w:t>www.qaihc.com.au</w:t>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Pr>
        <w:rFonts w:ascii="Fira Sans Book" w:hAnsi="Fira Sans Book"/>
        <w:noProof/>
        <w:color w:val="FFFFFF" w:themeColor="background1"/>
        <w:sz w:val="16"/>
        <w:szCs w:val="16"/>
      </w:rPr>
      <w:tab/>
    </w:r>
    <w:r w:rsidRPr="0069386D">
      <w:rPr>
        <w:rFonts w:ascii="Fira Sans Book" w:hAnsi="Fira Sans Book"/>
        <w:noProof/>
        <w:color w:val="FFFFFF" w:themeColor="background1"/>
      </w:rPr>
      <w:tab/>
    </w:r>
    <w:r w:rsidRPr="0069386D">
      <w:rPr>
        <w:rFonts w:ascii="Fira Sans Book" w:hAnsi="Fira Sans Book"/>
        <w:noProof/>
        <w:color w:val="FFFFFF" w:themeColor="background1"/>
      </w:rPr>
      <w:tab/>
      <w:t xml:space="preserve"> </w:t>
    </w:r>
    <w:r>
      <w:rPr>
        <w:rFonts w:ascii="Fira Sans Book" w:hAnsi="Fira Sans Book"/>
        <w:noProof/>
        <w:color w:val="FFFFFF" w:themeColor="background1"/>
      </w:rPr>
      <w:t xml:space="preserve">  </w:t>
    </w:r>
    <w:r w:rsidRPr="0069386D">
      <w:rPr>
        <w:rFonts w:ascii="Fira Sans Book" w:hAnsi="Fira Sans Book"/>
        <w:color w:val="FFFFFF" w:themeColor="background1"/>
      </w:rPr>
      <w:t xml:space="preserve">  </w:t>
    </w:r>
    <w:r w:rsidRPr="0069386D">
      <w:rPr>
        <w:rFonts w:ascii="Fira Sans Book" w:hAnsi="Fira Sans Book"/>
        <w:noProof/>
        <w:color w:val="FFFFFF" w:themeColor="background1"/>
      </w:rPr>
      <w:fldChar w:fldCharType="begin"/>
    </w:r>
    <w:r w:rsidRPr="0069386D">
      <w:rPr>
        <w:rFonts w:ascii="Fira Sans Book" w:hAnsi="Fira Sans Book"/>
        <w:noProof/>
        <w:color w:val="FFFFFF" w:themeColor="background1"/>
      </w:rPr>
      <w:instrText xml:space="preserve"> PAGE   \* MERGEFORMAT </w:instrText>
    </w:r>
    <w:r w:rsidRPr="0069386D">
      <w:rPr>
        <w:rFonts w:ascii="Fira Sans Book" w:hAnsi="Fira Sans Book"/>
        <w:noProof/>
        <w:color w:val="FFFFFF" w:themeColor="background1"/>
      </w:rPr>
      <w:fldChar w:fldCharType="separate"/>
    </w:r>
    <w:r w:rsidRPr="0069386D">
      <w:rPr>
        <w:rFonts w:ascii="Fira Sans Book" w:hAnsi="Fira Sans Book"/>
        <w:noProof/>
        <w:color w:val="FFFFFF" w:themeColor="background1"/>
      </w:rPr>
      <w:t>3</w:t>
    </w:r>
    <w:r w:rsidRPr="0069386D">
      <w:rPr>
        <w:rFonts w:ascii="Fira Sans Book" w:hAnsi="Fira Sans Book"/>
        <w:noProof/>
        <w:color w:val="FFFFFF" w:themeColor="background1"/>
      </w:rPr>
      <w:fldChar w:fldCharType="end"/>
    </w:r>
    <w:r w:rsidRPr="0069386D">
      <w:rPr>
        <w:rFonts w:ascii="Fira Sans Book" w:hAnsi="Fira Sans Book"/>
        <w:noProof/>
      </w:rPr>
      <w:drawing>
        <wp:anchor distT="0" distB="0" distL="114300" distR="114300" simplePos="0" relativeHeight="251661312" behindDoc="1" locked="1" layoutInCell="1" allowOverlap="1" wp14:anchorId="33D33498" wp14:editId="48957BB1">
          <wp:simplePos x="0" y="0"/>
          <wp:positionH relativeFrom="page">
            <wp:posOffset>0</wp:posOffset>
          </wp:positionH>
          <wp:positionV relativeFrom="page">
            <wp:posOffset>9803130</wp:posOffset>
          </wp:positionV>
          <wp:extent cx="7559675" cy="880110"/>
          <wp:effectExtent l="0" t="0" r="0" b="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86D">
      <w:rPr>
        <w:rFonts w:ascii="Fira Sans Book" w:hAnsi="Fira Sans Book"/>
        <w:noProof/>
      </w:rPr>
      <w:drawing>
        <wp:anchor distT="0" distB="0" distL="114300" distR="114300" simplePos="0" relativeHeight="251660288" behindDoc="1" locked="1" layoutInCell="1" allowOverlap="1" wp14:anchorId="29B7124A" wp14:editId="6F456451">
          <wp:simplePos x="0" y="0"/>
          <wp:positionH relativeFrom="page">
            <wp:posOffset>-3810</wp:posOffset>
          </wp:positionH>
          <wp:positionV relativeFrom="page">
            <wp:posOffset>9801225</wp:posOffset>
          </wp:positionV>
          <wp:extent cx="7559675" cy="88011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t="91755"/>
                  <a:stretch/>
                </pic:blipFill>
                <pic:spPr bwMode="auto">
                  <a:xfrm>
                    <a:off x="0" y="0"/>
                    <a:ext cx="755967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4EFC" w14:textId="77777777" w:rsidR="00E0401F" w:rsidRDefault="00E0401F" w:rsidP="007B4073">
      <w:pPr>
        <w:spacing w:after="0" w:line="240" w:lineRule="auto"/>
      </w:pPr>
      <w:r>
        <w:separator/>
      </w:r>
    </w:p>
  </w:footnote>
  <w:footnote w:type="continuationSeparator" w:id="0">
    <w:p w14:paraId="6876712A" w14:textId="77777777" w:rsidR="00E0401F" w:rsidRDefault="00E0401F" w:rsidP="007B4073">
      <w:pPr>
        <w:spacing w:after="0" w:line="240" w:lineRule="auto"/>
      </w:pPr>
      <w:r>
        <w:continuationSeparator/>
      </w:r>
    </w:p>
  </w:footnote>
  <w:footnote w:id="1">
    <w:p w14:paraId="3EB22D3F" w14:textId="77777777" w:rsidR="00001A4B" w:rsidRPr="00D752AA" w:rsidRDefault="00001A4B" w:rsidP="00001A4B">
      <w:pPr>
        <w:pStyle w:val="FootnoteText"/>
      </w:pPr>
      <w:r>
        <w:rPr>
          <w:rStyle w:val="FootnoteReference"/>
        </w:rPr>
        <w:footnoteRef/>
      </w:r>
      <w:r>
        <w:t xml:space="preserve"> Australian Institute of Health and Welfare (2023) </w:t>
      </w:r>
      <w:proofErr w:type="spellStart"/>
      <w:r>
        <w:t>BreastScreen</w:t>
      </w:r>
      <w:proofErr w:type="spellEnd"/>
      <w:r>
        <w:t xml:space="preserve"> Australia monitoring report 2023, catalogue number CAN 155, AIHW, Australian Government. Available from: </w:t>
      </w:r>
      <w:hyperlink r:id="rId1" w:history="1">
        <w:r w:rsidRPr="004B4F01">
          <w:rPr>
            <w:rStyle w:val="Hyperlink"/>
          </w:rPr>
          <w:t>https://www.aihw.gov.au/reports/cancer-screening/breastscreen-australia-monitoring-report-2023/summary</w:t>
        </w:r>
      </w:hyperlink>
      <w:r>
        <w:t xml:space="preserve"> </w:t>
      </w:r>
    </w:p>
  </w:footnote>
  <w:footnote w:id="2">
    <w:p w14:paraId="547E99D6" w14:textId="77777777" w:rsidR="00001A4B" w:rsidRPr="00832698" w:rsidRDefault="00001A4B" w:rsidP="00001A4B">
      <w:pPr>
        <w:pStyle w:val="FootnoteText"/>
      </w:pPr>
      <w:r>
        <w:rPr>
          <w:rStyle w:val="FootnoteReference"/>
        </w:rPr>
        <w:footnoteRef/>
      </w:r>
      <w:r>
        <w:t xml:space="preserve"> Order D, Webster F, Zorbas H, Sinclair S. Breast Screening and Breast Cancer Survival in Aboriginal and Torres Strait Islander Women of Australia. Asian Pac J Cancer Prev. 2012;13(1):147-55. Doi:10.7314/apjcp.2012.13.1.147. Available from: </w:t>
      </w:r>
      <w:hyperlink r:id="rId2" w:history="1">
        <w:r w:rsidRPr="004B4F01">
          <w:rPr>
            <w:rStyle w:val="Hyperlink"/>
          </w:rPr>
          <w:t>https://pubmed.ncbi.nlm.nih.gov/22502658/</w:t>
        </w:r>
      </w:hyperlink>
      <w:r>
        <w:t xml:space="preserve"> </w:t>
      </w:r>
    </w:p>
  </w:footnote>
  <w:footnote w:id="3">
    <w:p w14:paraId="47F9B55E" w14:textId="77777777" w:rsidR="00AA2110" w:rsidRPr="002C7ABC" w:rsidRDefault="00AA2110" w:rsidP="00AA2110">
      <w:pPr>
        <w:pStyle w:val="FootnoteText"/>
        <w:rPr>
          <w:lang w:val="en-US"/>
        </w:rPr>
      </w:pPr>
      <w:r>
        <w:rPr>
          <w:rStyle w:val="FootnoteReference"/>
        </w:rPr>
        <w:footnoteRef/>
      </w:r>
      <w:r>
        <w:t xml:space="preserve"> Australian Institute of Health and Welfare 2018. Analysis of breast cancer outcomes and screening behaviour for </w:t>
      </w:r>
      <w:proofErr w:type="spellStart"/>
      <w:r>
        <w:t>BreastScreen</w:t>
      </w:r>
      <w:proofErr w:type="spellEnd"/>
      <w:r>
        <w:t xml:space="preserve"> Australia. Cancer series no. 113. Cat. no. CAN 118. Canberra: AIHW. Available from: </w:t>
      </w:r>
      <w:hyperlink r:id="rId3" w:history="1">
        <w:r w:rsidRPr="004B4F01">
          <w:rPr>
            <w:rStyle w:val="Hyperlink"/>
          </w:rPr>
          <w:t>https://www.aihw.gov.au/reports/cancer-screening/breastcancer-outcomes-screening-behaviour-programs/summary</w:t>
        </w:r>
      </w:hyperlink>
      <w:r>
        <w:t xml:space="preserve"> </w:t>
      </w:r>
    </w:p>
  </w:footnote>
  <w:footnote w:id="4">
    <w:p w14:paraId="2FB75A39" w14:textId="5BA41B7B" w:rsidR="005E648A" w:rsidRPr="005E648A" w:rsidRDefault="005E648A">
      <w:pPr>
        <w:pStyle w:val="FootnoteText"/>
        <w:rPr>
          <w:lang w:val="en-US"/>
        </w:rPr>
      </w:pPr>
      <w:r>
        <w:rPr>
          <w:rStyle w:val="FootnoteReference"/>
        </w:rPr>
        <w:footnoteRef/>
      </w:r>
      <w:r>
        <w:t xml:space="preserve"> </w:t>
      </w:r>
      <w:r w:rsidR="006D3A90">
        <w:rPr>
          <w:lang w:val="en-US"/>
        </w:rPr>
        <w:t>Queensland Government. Human Rights Act 2019</w:t>
      </w:r>
      <w:r w:rsidR="007401DD">
        <w:rPr>
          <w:lang w:val="en-US"/>
        </w:rPr>
        <w:t xml:space="preserve">. </w:t>
      </w:r>
    </w:p>
  </w:footnote>
  <w:footnote w:id="5">
    <w:p w14:paraId="51B26041" w14:textId="60F34B4B" w:rsidR="008726CE" w:rsidRPr="008726CE" w:rsidRDefault="008726CE">
      <w:pPr>
        <w:pStyle w:val="FootnoteText"/>
        <w:rPr>
          <w:lang w:val="en-US"/>
        </w:rPr>
      </w:pPr>
      <w:r>
        <w:rPr>
          <w:rStyle w:val="FootnoteReference"/>
        </w:rPr>
        <w:footnoteRef/>
      </w:r>
      <w:r>
        <w:t xml:space="preserve"> </w:t>
      </w:r>
      <w:r w:rsidR="00FB580F">
        <w:rPr>
          <w:lang w:val="en-US"/>
        </w:rPr>
        <w:t>Coalition of Aboriginal and Torres Strait Islander Peak Organisations and Australian Government. National Agreement on Closing the Gap. July 2020.</w:t>
      </w:r>
    </w:p>
  </w:footnote>
  <w:footnote w:id="6">
    <w:p w14:paraId="6AE84C14" w14:textId="0001DC9E" w:rsidR="0089313E" w:rsidRDefault="0089313E" w:rsidP="0089313E">
      <w:pPr>
        <w:pStyle w:val="FootnoteText"/>
      </w:pPr>
      <w:r>
        <w:rPr>
          <w:rStyle w:val="FootnoteReference"/>
        </w:rPr>
        <w:footnoteRef/>
      </w:r>
      <w:r>
        <w:t xml:space="preserve"> Queensland Health. </w:t>
      </w:r>
      <w:r w:rsidRPr="00892490">
        <w:t>Making Tracks Together - Queensland's Aboriginal and Torres Strait Islander Health Equity Framework</w:t>
      </w:r>
      <w:r>
        <w:t xml:space="preserve">. Available from: </w:t>
      </w:r>
      <w:hyperlink r:id="rId4" w:history="1">
        <w:r w:rsidRPr="0024297E">
          <w:rPr>
            <w:rStyle w:val="Hyperlink"/>
          </w:rPr>
          <w:t>https://www.health.qld.gov.au/public-health/groups/atsihealth/making-tracks-together-queenslands-atsi-health-equity-framework</w:t>
        </w:r>
      </w:hyperlink>
    </w:p>
  </w:footnote>
  <w:footnote w:id="7">
    <w:p w14:paraId="6354679A" w14:textId="77777777" w:rsidR="00F61B5E" w:rsidRPr="00D9153F" w:rsidRDefault="00F61B5E" w:rsidP="00F61B5E">
      <w:pPr>
        <w:pStyle w:val="FootnoteText"/>
      </w:pPr>
      <w:r>
        <w:rPr>
          <w:rStyle w:val="FootnoteReference"/>
        </w:rPr>
        <w:footnoteRef/>
      </w:r>
      <w:r>
        <w:t xml:space="preserve"> McMichael C, Kirk M, Manderson L, Hoban E, Potts H. Indigenous women’s perceptions of breast cancer diagnosis and treatment in Queensland. Aust N Z J Public Health. 2000 Oct;24(5):515-9. Doi: 10.1111/j.1467-842x.2000.tb00502.x. Available from: </w:t>
      </w:r>
      <w:hyperlink r:id="rId5" w:history="1">
        <w:r w:rsidRPr="004B4F01">
          <w:rPr>
            <w:rStyle w:val="Hyperlink"/>
          </w:rPr>
          <w:t>https://pubmed.ncbi.nlm.nih.gov/11109689/</w:t>
        </w:r>
      </w:hyperlink>
      <w:r>
        <w:t xml:space="preserve"> </w:t>
      </w:r>
    </w:p>
  </w:footnote>
  <w:footnote w:id="8">
    <w:p w14:paraId="51AFC00C" w14:textId="77777777" w:rsidR="00AA2110" w:rsidRPr="00087DF7" w:rsidRDefault="00AA2110" w:rsidP="00AA2110">
      <w:pPr>
        <w:pStyle w:val="FootnoteText"/>
        <w:rPr>
          <w:lang w:val="en-US"/>
        </w:rPr>
      </w:pPr>
      <w:r>
        <w:rPr>
          <w:rStyle w:val="FootnoteReference"/>
        </w:rPr>
        <w:footnoteRef/>
      </w:r>
      <w:r>
        <w:t xml:space="preserve"> Byers L, Michell K, McCullough K. Awareness, acceptability and access to screening mammography for remote Aboriginal women. Health </w:t>
      </w:r>
      <w:proofErr w:type="spellStart"/>
      <w:r>
        <w:t>Promot</w:t>
      </w:r>
      <w:proofErr w:type="spellEnd"/>
      <w:r>
        <w:t xml:space="preserve"> J </w:t>
      </w:r>
      <w:proofErr w:type="spellStart"/>
      <w:r>
        <w:t>Austr</w:t>
      </w:r>
      <w:proofErr w:type="spellEnd"/>
      <w:r>
        <w:t xml:space="preserve">. 2018 Dec;29(3):366-367. Doi: 10.1002/hpja.40. Available from: </w:t>
      </w:r>
      <w:hyperlink r:id="rId6" w:history="1">
        <w:r w:rsidRPr="004B4F01">
          <w:rPr>
            <w:rStyle w:val="Hyperlink"/>
          </w:rPr>
          <w:t>https://ro.ecu.edu.au/ecuworkspost2013/5513/</w:t>
        </w:r>
      </w:hyperlink>
      <w:r>
        <w:t xml:space="preserve"> </w:t>
      </w:r>
    </w:p>
  </w:footnote>
  <w:footnote w:id="9">
    <w:p w14:paraId="5E677196" w14:textId="77777777" w:rsidR="00AA2110" w:rsidRPr="00735F5D" w:rsidRDefault="00AA2110" w:rsidP="00AA2110">
      <w:pPr>
        <w:pStyle w:val="FootnoteText"/>
        <w:rPr>
          <w:lang w:val="en-US"/>
        </w:rPr>
      </w:pPr>
      <w:r>
        <w:rPr>
          <w:rStyle w:val="FootnoteReference"/>
        </w:rPr>
        <w:footnoteRef/>
      </w:r>
      <w:r>
        <w:t xml:space="preserve"> Campbell J, </w:t>
      </w:r>
      <w:proofErr w:type="spellStart"/>
      <w:r>
        <w:t>Kurnoth</w:t>
      </w:r>
      <w:proofErr w:type="spellEnd"/>
      <w:r>
        <w:t xml:space="preserve"> P. Well women making a difference – evaluation report and program guide. Northern Territory Dept of Health and Community Services. 2000 Apr. Available from: </w:t>
      </w:r>
      <w:hyperlink r:id="rId7" w:history="1">
        <w:r w:rsidRPr="004B4F01">
          <w:rPr>
            <w:rStyle w:val="Hyperlink"/>
          </w:rPr>
          <w:t>https://digitallibrary.health.nt.gov.au/prodjspui/handle/10137/8496</w:t>
        </w:r>
      </w:hyperlink>
      <w:r>
        <w:t xml:space="preserve"> </w:t>
      </w:r>
    </w:p>
  </w:footnote>
  <w:footnote w:id="10">
    <w:p w14:paraId="417D708B" w14:textId="77777777" w:rsidR="00AA2110" w:rsidRPr="00D9073D" w:rsidRDefault="00AA2110" w:rsidP="00AA2110">
      <w:pPr>
        <w:pStyle w:val="FootnoteText"/>
        <w:rPr>
          <w:lang w:val="en-US"/>
        </w:rPr>
      </w:pPr>
      <w:r>
        <w:rPr>
          <w:rStyle w:val="FootnoteReference"/>
        </w:rPr>
        <w:footnoteRef/>
      </w:r>
      <w:r>
        <w:t xml:space="preserve"> Hedges S, Davidson M, Forrester S, Casey A, Pridmore V, Cooper A et al. </w:t>
      </w:r>
      <w:r w:rsidRPr="002E2126">
        <w:t>A Breast Screening Shawl to Help Aboriginal Women Feel More Comfortable and Culturally Safe</w:t>
      </w:r>
      <w:r>
        <w:t xml:space="preserve">. J Glob </w:t>
      </w:r>
      <w:proofErr w:type="spellStart"/>
      <w:r>
        <w:t>Onc</w:t>
      </w:r>
      <w:proofErr w:type="spellEnd"/>
      <w:r>
        <w:t>. 2018 Sept 28;4(20). Doi: 10.1200/jgo.18.11200. Available from:</w:t>
      </w:r>
      <w:r w:rsidRPr="00211708">
        <w:t xml:space="preserve"> </w:t>
      </w:r>
      <w:hyperlink r:id="rId8" w:history="1">
        <w:r w:rsidRPr="004B4F01">
          <w:rPr>
            <w:rStyle w:val="Hyperlink"/>
          </w:rPr>
          <w:t>https://ascopubs.org/doi/abs/10.1200/jgo.18.11200</w:t>
        </w:r>
      </w:hyperlink>
      <w:r>
        <w:t xml:space="preserve"> </w:t>
      </w:r>
    </w:p>
  </w:footnote>
  <w:footnote w:id="11">
    <w:p w14:paraId="0453514D" w14:textId="77777777" w:rsidR="00AA2110" w:rsidRPr="001432D9" w:rsidRDefault="00AA2110" w:rsidP="00AA2110">
      <w:pPr>
        <w:pStyle w:val="FootnoteText"/>
        <w:rPr>
          <w:lang w:val="en-US"/>
        </w:rPr>
      </w:pPr>
      <w:r>
        <w:rPr>
          <w:rStyle w:val="FootnoteReference"/>
        </w:rPr>
        <w:footnoteRef/>
      </w:r>
      <w:r>
        <w:t xml:space="preserve"> Christie V, Green D, Amin J, Pyke C, Littlejohn K, Skinner J et al. </w:t>
      </w:r>
      <w:r w:rsidRPr="00EA1930">
        <w:t>What Is the Evidence Globally for Culturally Safe Strategies to Improve Breast Cancer Outcomes for Indigenous Women in High Income Countries? A Systematic Review</w:t>
      </w:r>
      <w:r>
        <w:t xml:space="preserve">. Int J Environ Res Public Health. 2021 Jun; 18(11):6073. Doi: 10.3390/ijerph18116073. Available from: </w:t>
      </w:r>
      <w:hyperlink r:id="rId9" w:history="1">
        <w:r w:rsidRPr="004B4F01">
          <w:rPr>
            <w:rStyle w:val="Hyperlink"/>
          </w:rPr>
          <w:t>https://www.ncbi.nlm.nih.gov/pmc/articles/PMC8200222/</w:t>
        </w:r>
      </w:hyperlink>
      <w:r>
        <w:t xml:space="preserve"> </w:t>
      </w:r>
    </w:p>
  </w:footnote>
  <w:footnote w:id="12">
    <w:p w14:paraId="0B62B16C" w14:textId="77777777" w:rsidR="00AA2110" w:rsidRPr="00B2396C" w:rsidRDefault="00AA2110" w:rsidP="00AA2110">
      <w:pPr>
        <w:pStyle w:val="FootnoteText"/>
        <w:rPr>
          <w:lang w:val="en-US"/>
        </w:rPr>
      </w:pPr>
      <w:r>
        <w:rPr>
          <w:rStyle w:val="FootnoteReference"/>
        </w:rPr>
        <w:footnoteRef/>
      </w:r>
      <w:r>
        <w:t xml:space="preserve"> Pilkington L, Haigh M, Durey A, Katzenellenbogen J, Thompson S. Perspectives of Aboriginal women on participation in mammographic screening: a step towards improving services. BMC Public Health. 2017 Sept 11;17(1):697. Doi: 10.1186/x12889-017-4701-1. Available from: </w:t>
      </w:r>
      <w:hyperlink r:id="rId10" w:history="1">
        <w:r w:rsidRPr="004B4F01">
          <w:rPr>
            <w:rStyle w:val="Hyperlink"/>
          </w:rPr>
          <w:t>https://pubmed.ncbi.nlm.nih.gov/28893225/</w:t>
        </w:r>
      </w:hyperlink>
      <w:r>
        <w:t xml:space="preserve"> </w:t>
      </w:r>
    </w:p>
  </w:footnote>
  <w:footnote w:id="13">
    <w:p w14:paraId="670572F4" w14:textId="77777777" w:rsidR="00B545AA" w:rsidRPr="00BA220D" w:rsidRDefault="00B545AA" w:rsidP="00B545AA">
      <w:pPr>
        <w:pStyle w:val="FootnoteText"/>
        <w:rPr>
          <w:lang w:val="en-US"/>
        </w:rPr>
      </w:pPr>
      <w:r>
        <w:rPr>
          <w:rStyle w:val="FootnoteReference"/>
        </w:rPr>
        <w:footnoteRef/>
      </w:r>
      <w:r>
        <w:t xml:space="preserve"> Valery P, Bernardes C, de Witt A, Martin J, Walpole E, Garvey G et al. </w:t>
      </w:r>
      <w:r w:rsidRPr="00D5083E">
        <w:t>Patterns of primary health care service use of Indigenous Australians diagnosed with cancer</w:t>
      </w:r>
      <w:r>
        <w:t xml:space="preserve">. Support Care Cancer. 2020 Jan;28(1):317-327. Doi: 10.1007/s00520-019-04821-1. </w:t>
      </w:r>
      <w:proofErr w:type="spellStart"/>
      <w:r>
        <w:t>Epub</w:t>
      </w:r>
      <w:proofErr w:type="spellEnd"/>
      <w:r>
        <w:t xml:space="preserve"> 2019 May 2. Available from: </w:t>
      </w:r>
      <w:hyperlink r:id="rId11" w:history="1">
        <w:r w:rsidRPr="004B4F01">
          <w:rPr>
            <w:rStyle w:val="Hyperlink"/>
          </w:rPr>
          <w:t>https://pubmed.ncbi.nlm.nih.gov/31049670/</w:t>
        </w:r>
      </w:hyperlink>
      <w:r>
        <w:t xml:space="preserve"> </w:t>
      </w:r>
    </w:p>
  </w:footnote>
  <w:footnote w:id="14">
    <w:p w14:paraId="00025634" w14:textId="77777777" w:rsidR="00A44936" w:rsidRPr="00637EFE" w:rsidRDefault="00A44936" w:rsidP="00A44936">
      <w:pPr>
        <w:pStyle w:val="FootnoteText"/>
        <w:rPr>
          <w:lang w:val="en-US"/>
        </w:rPr>
      </w:pPr>
      <w:r>
        <w:rPr>
          <w:rStyle w:val="FootnoteReference"/>
        </w:rPr>
        <w:footnoteRef/>
      </w:r>
      <w:r>
        <w:t xml:space="preserve"> Christie V, Rice M, </w:t>
      </w:r>
      <w:proofErr w:type="spellStart"/>
      <w:r>
        <w:t>Dracakis</w:t>
      </w:r>
      <w:proofErr w:type="spellEnd"/>
      <w:r>
        <w:t xml:space="preserve"> J, Green D, Amin J, Littlejohn K et al. </w:t>
      </w:r>
      <w:r w:rsidRPr="005454E7">
        <w:t>Improving breast cancer outcomes for Aboriginal women: a mixed-methods study protocol</w:t>
      </w:r>
      <w:r>
        <w:t xml:space="preserve">. BMJ Open. 2022;12(1):e048003. Available from: </w:t>
      </w:r>
      <w:hyperlink r:id="rId12" w:history="1">
        <w:r w:rsidRPr="004B4F01">
          <w:rPr>
            <w:rStyle w:val="Hyperlink"/>
          </w:rPr>
          <w:t>https://www.ncbi.nlm.nih.gov/pmc/articles/PMC8788241/</w:t>
        </w:r>
      </w:hyperlink>
      <w:r>
        <w:t xml:space="preserve"> </w:t>
      </w:r>
    </w:p>
  </w:footnote>
  <w:footnote w:id="15">
    <w:p w14:paraId="74B1AA75" w14:textId="77777777" w:rsidR="00A44936" w:rsidRPr="00CB1E66" w:rsidRDefault="00A44936" w:rsidP="00A44936">
      <w:pPr>
        <w:pStyle w:val="FootnoteText"/>
      </w:pPr>
      <w:r>
        <w:rPr>
          <w:rStyle w:val="FootnoteReference"/>
        </w:rPr>
        <w:footnoteRef/>
      </w:r>
      <w:r>
        <w:t xml:space="preserve"> Reath J, Carey M. </w:t>
      </w:r>
      <w:r w:rsidRPr="00A009D2">
        <w:t>Breast and cervical cancer in indigenous women-overcoming barriers to early detection</w:t>
      </w:r>
      <w:r>
        <w:t xml:space="preserve">. Aust Fam Physician. 2008 Mar;37(3):178-82. Available from: </w:t>
      </w:r>
      <w:hyperlink r:id="rId13" w:history="1">
        <w:r w:rsidRPr="004B4F01">
          <w:rPr>
            <w:rStyle w:val="Hyperlink"/>
          </w:rPr>
          <w:t>https://pubmed.ncbi.nlm.nih.gov/18345371/</w:t>
        </w:r>
      </w:hyperlink>
      <w:r>
        <w:t xml:space="preserve"> </w:t>
      </w:r>
    </w:p>
  </w:footnote>
  <w:footnote w:id="16">
    <w:p w14:paraId="2E967645" w14:textId="77777777" w:rsidR="006F6DB2" w:rsidRPr="007E15FE" w:rsidRDefault="006F6DB2" w:rsidP="006F6DB2">
      <w:pPr>
        <w:pStyle w:val="FootnoteText"/>
        <w:rPr>
          <w:lang w:val="en-US"/>
        </w:rPr>
      </w:pPr>
      <w:r>
        <w:rPr>
          <w:rStyle w:val="FootnoteReference"/>
        </w:rPr>
        <w:footnoteRef/>
      </w:r>
      <w:r>
        <w:t xml:space="preserve"> Cancer Council Australia. Social and cultural determinants of Indigenous health consultation. 2017 May 5. Available from: </w:t>
      </w:r>
      <w:hyperlink r:id="rId14" w:history="1">
        <w:r w:rsidRPr="004B4F01">
          <w:rPr>
            <w:rStyle w:val="Hyperlink"/>
          </w:rPr>
          <w:t>https://www.cancer.org.au/assets/pdf/submission-to-the-department-of-health-on-the-social-and-cultural-determinants-of-indigenous-health</w:t>
        </w:r>
      </w:hyperlink>
      <w:r>
        <w:t xml:space="preserve"> </w:t>
      </w:r>
    </w:p>
  </w:footnote>
  <w:footnote w:id="17">
    <w:p w14:paraId="5D4401A4" w14:textId="77777777" w:rsidR="006F6DB2" w:rsidRPr="00EE212E" w:rsidRDefault="006F6DB2" w:rsidP="006F6DB2">
      <w:pPr>
        <w:pStyle w:val="FootnoteText"/>
        <w:rPr>
          <w:lang w:val="en-US"/>
        </w:rPr>
      </w:pPr>
      <w:r>
        <w:rPr>
          <w:rStyle w:val="FootnoteReference"/>
        </w:rPr>
        <w:footnoteRef/>
      </w:r>
      <w:r>
        <w:t xml:space="preserve"> Cancer Australia, Cancer Council. Optimal care pathway for Aboriginal and Torres Strait Islander people with cancer. Available from: </w:t>
      </w:r>
      <w:hyperlink r:id="rId15" w:history="1">
        <w:r w:rsidRPr="004B4F01">
          <w:rPr>
            <w:rStyle w:val="Hyperlink"/>
          </w:rPr>
          <w:t>https://www.cancer.org.au/assets/pdf/optimal-care-pathway-for-aboriginal-and-torres-strait-islander-people-with-cancer</w:t>
        </w:r>
      </w:hyperlink>
      <w:r>
        <w:t xml:space="preserve"> </w:t>
      </w:r>
    </w:p>
  </w:footnote>
  <w:footnote w:id="18">
    <w:p w14:paraId="14FFE2D9" w14:textId="77777777" w:rsidR="006F6DB2" w:rsidRPr="00AE7324" w:rsidRDefault="006F6DB2" w:rsidP="006F6DB2">
      <w:pPr>
        <w:pStyle w:val="FootnoteText"/>
        <w:rPr>
          <w:lang w:val="en-US"/>
        </w:rPr>
      </w:pPr>
      <w:r>
        <w:rPr>
          <w:rStyle w:val="FootnoteReference"/>
        </w:rPr>
        <w:footnoteRef/>
      </w:r>
      <w:r>
        <w:t xml:space="preserve"> Haigh M, Burns J, Potter C, Elwell M, </w:t>
      </w:r>
      <w:proofErr w:type="spellStart"/>
      <w:r>
        <w:t>Hollws</w:t>
      </w:r>
      <w:proofErr w:type="spellEnd"/>
      <w:r>
        <w:t xml:space="preserve"> M, Mundy J et al. Review of cancer among Aboriginal and Torres Strait Islander people. Australian Indigenous </w:t>
      </w:r>
      <w:proofErr w:type="spellStart"/>
      <w:r>
        <w:t>HealthBulletin</w:t>
      </w:r>
      <w:proofErr w:type="spellEnd"/>
      <w:r>
        <w:t xml:space="preserve">. 2018 Sept 12;18(3). Available from: </w:t>
      </w:r>
      <w:hyperlink r:id="rId16" w:history="1">
        <w:r w:rsidRPr="004B4F01">
          <w:rPr>
            <w:rStyle w:val="Hyperlink"/>
          </w:rPr>
          <w:t>https://healthbulletin.org.au/articles/review-of-cancer-2018/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7256" w14:textId="7644050A" w:rsidR="00087774" w:rsidRDefault="00DE67EF">
    <w:pPr>
      <w:pStyle w:val="Header"/>
    </w:pPr>
    <w:r>
      <w:rPr>
        <w:noProof/>
      </w:rPr>
      <w:drawing>
        <wp:anchor distT="0" distB="0" distL="114300" distR="114300" simplePos="0" relativeHeight="251662336" behindDoc="1" locked="0" layoutInCell="1" allowOverlap="1" wp14:anchorId="3B6B896E" wp14:editId="3D66B510">
          <wp:simplePos x="0" y="0"/>
          <wp:positionH relativeFrom="column">
            <wp:posOffset>-449580</wp:posOffset>
          </wp:positionH>
          <wp:positionV relativeFrom="paragraph">
            <wp:posOffset>-440168</wp:posOffset>
          </wp:positionV>
          <wp:extent cx="7545403" cy="58581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7186" cy="5882865"/>
                  </a:xfrm>
                  <a:prstGeom prst="rect">
                    <a:avLst/>
                  </a:prstGeom>
                </pic:spPr>
              </pic:pic>
            </a:graphicData>
          </a:graphic>
          <wp14:sizeRelH relativeFrom="page">
            <wp14:pctWidth>0</wp14:pctWidth>
          </wp14:sizeRelH>
          <wp14:sizeRelV relativeFrom="page">
            <wp14:pctHeight>0</wp14:pctHeight>
          </wp14:sizeRelV>
        </wp:anchor>
      </w:drawing>
    </w:r>
    <w:r w:rsidR="00A611FB">
      <w:rPr>
        <w:rFonts w:ascii="Fira Sans SemiBold" w:hAnsi="Fira Sans SemiBold" w:cs="Calibri"/>
        <w:b/>
        <w:bCs/>
        <w:noProof/>
        <w:sz w:val="44"/>
        <w:szCs w:val="44"/>
        <w:lang w:val="en-GB"/>
      </w:rPr>
      <mc:AlternateContent>
        <mc:Choice Requires="wps">
          <w:drawing>
            <wp:anchor distT="0" distB="0" distL="114300" distR="114300" simplePos="0" relativeHeight="251667456" behindDoc="0" locked="0" layoutInCell="1" allowOverlap="1" wp14:anchorId="4D25D959" wp14:editId="5E29821F">
              <wp:simplePos x="0" y="0"/>
              <wp:positionH relativeFrom="column">
                <wp:posOffset>-117783</wp:posOffset>
              </wp:positionH>
              <wp:positionV relativeFrom="paragraph">
                <wp:posOffset>-213360</wp:posOffset>
              </wp:positionV>
              <wp:extent cx="2431915" cy="340468"/>
              <wp:effectExtent l="0" t="0" r="0" b="0"/>
              <wp:wrapNone/>
              <wp:docPr id="8" name="Text Box 8"/>
              <wp:cNvGraphicFramePr/>
              <a:graphic xmlns:a="http://schemas.openxmlformats.org/drawingml/2006/main">
                <a:graphicData uri="http://schemas.microsoft.com/office/word/2010/wordprocessingShape">
                  <wps:wsp>
                    <wps:cNvSpPr txBox="1"/>
                    <wps:spPr>
                      <a:xfrm>
                        <a:off x="0" y="0"/>
                        <a:ext cx="2431915" cy="340468"/>
                      </a:xfrm>
                      <a:prstGeom prst="rect">
                        <a:avLst/>
                      </a:prstGeom>
                      <a:noFill/>
                      <a:ln w="6350">
                        <a:noFill/>
                      </a:ln>
                    </wps:spPr>
                    <wps:txbx>
                      <w:txbxContent>
                        <w:p w14:paraId="33771DF1" w14:textId="3133A8B0" w:rsidR="00D56ADF" w:rsidRPr="00D56ADF" w:rsidRDefault="003852D2" w:rsidP="00D56ADF">
                          <w:pPr>
                            <w:rPr>
                              <w:rFonts w:ascii="Fira Sans Light" w:hAnsi="Fira Sans Light"/>
                              <w:color w:val="FFFFFF" w:themeColor="background1"/>
                              <w:sz w:val="36"/>
                              <w:szCs w:val="36"/>
                            </w:rPr>
                          </w:pPr>
                          <w:r>
                            <w:rPr>
                              <w:rFonts w:ascii="Fira Sans Light" w:hAnsi="Fira Sans Light"/>
                              <w:color w:val="FFFFFF" w:themeColor="background1"/>
                              <w:sz w:val="36"/>
                              <w:szCs w:val="36"/>
                            </w:rPr>
                            <w:t xml:space="preserve">April </w:t>
                          </w:r>
                          <w:r w:rsidR="00557B55">
                            <w:rPr>
                              <w:rFonts w:ascii="Fira Sans Light" w:hAnsi="Fira Sans Light"/>
                              <w:color w:val="FFFFFF" w:themeColor="background1"/>
                              <w:sz w:val="36"/>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5D959" id="_x0000_t202" coordsize="21600,21600" o:spt="202" path="m,l,21600r21600,l21600,xe">
              <v:stroke joinstyle="miter"/>
              <v:path gradientshapeok="t" o:connecttype="rect"/>
            </v:shapetype>
            <v:shape id="Text Box 8" o:spid="_x0000_s1026" type="#_x0000_t202" style="position:absolute;margin-left:-9.25pt;margin-top:-16.8pt;width:191.5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" filled="f" stroked="f" strokeweight=".5pt">
              <v:textbox>
                <w:txbxContent>
                  <w:p w14:paraId="33771DF1" w14:textId="3133A8B0" w:rsidR="00D56ADF" w:rsidRPr="00D56ADF" w:rsidRDefault="003852D2" w:rsidP="00D56ADF">
                    <w:pPr>
                      <w:rPr>
                        <w:rFonts w:ascii="Fira Sans Light" w:hAnsi="Fira Sans Light"/>
                        <w:color w:val="FFFFFF" w:themeColor="background1"/>
                        <w:sz w:val="36"/>
                        <w:szCs w:val="36"/>
                      </w:rPr>
                    </w:pPr>
                    <w:r>
                      <w:rPr>
                        <w:rFonts w:ascii="Fira Sans Light" w:hAnsi="Fira Sans Light"/>
                        <w:color w:val="FFFFFF" w:themeColor="background1"/>
                        <w:sz w:val="36"/>
                        <w:szCs w:val="36"/>
                      </w:rPr>
                      <w:t xml:space="preserve">April </w:t>
                    </w:r>
                    <w:r w:rsidR="00557B55">
                      <w:rPr>
                        <w:rFonts w:ascii="Fira Sans Light" w:hAnsi="Fira Sans Light"/>
                        <w:color w:val="FFFFFF" w:themeColor="background1"/>
                        <w:sz w:val="36"/>
                        <w:szCs w:val="36"/>
                      </w:rPr>
                      <w:t>2024</w:t>
                    </w:r>
                  </w:p>
                </w:txbxContent>
              </v:textbox>
            </v:shape>
          </w:pict>
        </mc:Fallback>
      </mc:AlternateContent>
    </w:r>
    <w:r w:rsidR="00A3657F">
      <w:rPr>
        <w:rFonts w:ascii="Fira Sans SemiBold" w:hAnsi="Fira Sans SemiBold" w:cs="Calibri"/>
        <w:b/>
        <w:bCs/>
        <w:noProof/>
        <w:sz w:val="44"/>
        <w:szCs w:val="44"/>
        <w:lang w:val="en-GB"/>
      </w:rPr>
      <mc:AlternateContent>
        <mc:Choice Requires="wps">
          <w:drawing>
            <wp:anchor distT="0" distB="0" distL="114300" distR="114300" simplePos="0" relativeHeight="251669504" behindDoc="0" locked="0" layoutInCell="1" allowOverlap="1" wp14:anchorId="16986D59" wp14:editId="35A16D3F">
              <wp:simplePos x="0" y="0"/>
              <wp:positionH relativeFrom="column">
                <wp:posOffset>-118745</wp:posOffset>
              </wp:positionH>
              <wp:positionV relativeFrom="paragraph">
                <wp:posOffset>48712</wp:posOffset>
              </wp:positionV>
              <wp:extent cx="5126477" cy="758757"/>
              <wp:effectExtent l="0" t="0" r="0" b="0"/>
              <wp:wrapNone/>
              <wp:docPr id="9" name="Text Box 9"/>
              <wp:cNvGraphicFramePr/>
              <a:graphic xmlns:a="http://schemas.openxmlformats.org/drawingml/2006/main">
                <a:graphicData uri="http://schemas.microsoft.com/office/word/2010/wordprocessingShape">
                  <wps:wsp>
                    <wps:cNvSpPr txBox="1"/>
                    <wps:spPr>
                      <a:xfrm>
                        <a:off x="0" y="0"/>
                        <a:ext cx="5126477" cy="758757"/>
                      </a:xfrm>
                      <a:prstGeom prst="rect">
                        <a:avLst/>
                      </a:prstGeom>
                      <a:noFill/>
                      <a:ln w="6350">
                        <a:noFill/>
                      </a:ln>
                    </wps:spPr>
                    <wps:txbx>
                      <w:txbxContent>
                        <w:p w14:paraId="4C88812A" w14:textId="624ABFCA" w:rsidR="00A3657F" w:rsidRPr="00A611FB" w:rsidRDefault="00557B55" w:rsidP="00A3657F">
                          <w:pPr>
                            <w:rPr>
                              <w:rFonts w:ascii="Fira Sans SemiBold" w:hAnsi="Fira Sans SemiBold"/>
                              <w:b/>
                              <w:bCs/>
                              <w:color w:val="FFFFFF" w:themeColor="background1"/>
                              <w:sz w:val="72"/>
                              <w:szCs w:val="72"/>
                            </w:rPr>
                          </w:pPr>
                          <w:r>
                            <w:rPr>
                              <w:rFonts w:ascii="Fira Sans SemiBold" w:hAnsi="Fira Sans SemiBold"/>
                              <w:b/>
                              <w:bCs/>
                              <w:color w:val="FFFFFF" w:themeColor="background1"/>
                              <w:sz w:val="72"/>
                              <w:szCs w:val="72"/>
                            </w:rPr>
                            <w:t>Position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86D59" id="Text Box 9" o:spid="_x0000_s1027" type="#_x0000_t202" style="position:absolute;margin-left:-9.35pt;margin-top:3.85pt;width:403.65pt;height:5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bRGgIAADMEAAAOAAAAZHJzL2Uyb0RvYy54bWysU02P2jAQvVfqf7B8LwEKZBsRVnRXVJXQ&#10;7kpstWfj2CSS7XFtQ0J/fccOX9r2VPXizHgm8/He8/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" filled="f" stroked="f" strokeweight=".5pt">
              <v:textbox>
                <w:txbxContent>
                  <w:p w14:paraId="4C88812A" w14:textId="624ABFCA" w:rsidR="00A3657F" w:rsidRPr="00A611FB" w:rsidRDefault="00557B55" w:rsidP="00A3657F">
                    <w:pPr>
                      <w:rPr>
                        <w:rFonts w:ascii="Fira Sans SemiBold" w:hAnsi="Fira Sans SemiBold"/>
                        <w:b/>
                        <w:bCs/>
                        <w:color w:val="FFFFFF" w:themeColor="background1"/>
                        <w:sz w:val="72"/>
                        <w:szCs w:val="72"/>
                      </w:rPr>
                    </w:pPr>
                    <w:r>
                      <w:rPr>
                        <w:rFonts w:ascii="Fira Sans SemiBold" w:hAnsi="Fira Sans SemiBold"/>
                        <w:b/>
                        <w:bCs/>
                        <w:color w:val="FFFFFF" w:themeColor="background1"/>
                        <w:sz w:val="72"/>
                        <w:szCs w:val="72"/>
                      </w:rPr>
                      <w:t>Position statement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AD4E" w14:textId="653E905D" w:rsidR="00C87CB2" w:rsidRDefault="00C87CB2">
    <w:pPr>
      <w:pStyle w:val="Header"/>
    </w:pPr>
    <w:r>
      <w:rPr>
        <w:noProof/>
      </w:rPr>
      <w:drawing>
        <wp:anchor distT="0" distB="0" distL="114300" distR="114300" simplePos="0" relativeHeight="251658240" behindDoc="1" locked="0" layoutInCell="1" allowOverlap="1" wp14:anchorId="2C353520" wp14:editId="3CA757D8">
          <wp:simplePos x="0" y="0"/>
          <wp:positionH relativeFrom="column">
            <wp:posOffset>-439686</wp:posOffset>
          </wp:positionH>
          <wp:positionV relativeFrom="paragraph">
            <wp:posOffset>-440487</wp:posOffset>
          </wp:positionV>
          <wp:extent cx="7538603" cy="4231754"/>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38603" cy="42317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pt;height:6pt" o:bullet="t">
        <v:imagedata r:id="rId1" o:title="Blue_Dot_Bullet"/>
      </v:shape>
    </w:pict>
  </w:numPicBullet>
  <w:abstractNum w:abstractNumId="0" w15:restartNumberingAfterBreak="0">
    <w:nsid w:val="00E45CB2"/>
    <w:multiLevelType w:val="hybridMultilevel"/>
    <w:tmpl w:val="5010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46B46"/>
    <w:multiLevelType w:val="hybridMultilevel"/>
    <w:tmpl w:val="65AE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37F81"/>
    <w:multiLevelType w:val="hybridMultilevel"/>
    <w:tmpl w:val="AD7881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FCE7361"/>
    <w:multiLevelType w:val="hybridMultilevel"/>
    <w:tmpl w:val="5A1AF7BA"/>
    <w:lvl w:ilvl="0" w:tplc="A9CA3B20">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12E34D17"/>
    <w:multiLevelType w:val="hybridMultilevel"/>
    <w:tmpl w:val="879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D5F8D"/>
    <w:multiLevelType w:val="multilevel"/>
    <w:tmpl w:val="D638CA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25166"/>
    <w:multiLevelType w:val="multilevel"/>
    <w:tmpl w:val="FFEA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1C3B42"/>
    <w:multiLevelType w:val="hybridMultilevel"/>
    <w:tmpl w:val="4950F39E"/>
    <w:lvl w:ilvl="0" w:tplc="7F567FDA">
      <w:start w:val="1"/>
      <w:numFmt w:val="bullet"/>
      <w:lvlText w:val=""/>
      <w:lvlJc w:val="left"/>
      <w:pPr>
        <w:tabs>
          <w:tab w:val="num" w:pos="720"/>
        </w:tabs>
        <w:ind w:left="720" w:hanging="360"/>
      </w:pPr>
      <w:rPr>
        <w:rFonts w:ascii="Symbol" w:hAnsi="Symbol" w:hint="default"/>
      </w:rPr>
    </w:lvl>
    <w:lvl w:ilvl="1" w:tplc="5B7E663A" w:tentative="1">
      <w:start w:val="1"/>
      <w:numFmt w:val="bullet"/>
      <w:lvlText w:val=""/>
      <w:lvlJc w:val="left"/>
      <w:pPr>
        <w:tabs>
          <w:tab w:val="num" w:pos="1440"/>
        </w:tabs>
        <w:ind w:left="1440" w:hanging="360"/>
      </w:pPr>
      <w:rPr>
        <w:rFonts w:ascii="Symbol" w:hAnsi="Symbol" w:hint="default"/>
      </w:rPr>
    </w:lvl>
    <w:lvl w:ilvl="2" w:tplc="19EAA43C" w:tentative="1">
      <w:start w:val="1"/>
      <w:numFmt w:val="bullet"/>
      <w:lvlText w:val=""/>
      <w:lvlJc w:val="left"/>
      <w:pPr>
        <w:tabs>
          <w:tab w:val="num" w:pos="2160"/>
        </w:tabs>
        <w:ind w:left="2160" w:hanging="360"/>
      </w:pPr>
      <w:rPr>
        <w:rFonts w:ascii="Symbol" w:hAnsi="Symbol" w:hint="default"/>
      </w:rPr>
    </w:lvl>
    <w:lvl w:ilvl="3" w:tplc="3BB0348C" w:tentative="1">
      <w:start w:val="1"/>
      <w:numFmt w:val="bullet"/>
      <w:lvlText w:val=""/>
      <w:lvlJc w:val="left"/>
      <w:pPr>
        <w:tabs>
          <w:tab w:val="num" w:pos="2880"/>
        </w:tabs>
        <w:ind w:left="2880" w:hanging="360"/>
      </w:pPr>
      <w:rPr>
        <w:rFonts w:ascii="Symbol" w:hAnsi="Symbol" w:hint="default"/>
      </w:rPr>
    </w:lvl>
    <w:lvl w:ilvl="4" w:tplc="707223F8" w:tentative="1">
      <w:start w:val="1"/>
      <w:numFmt w:val="bullet"/>
      <w:lvlText w:val=""/>
      <w:lvlJc w:val="left"/>
      <w:pPr>
        <w:tabs>
          <w:tab w:val="num" w:pos="3600"/>
        </w:tabs>
        <w:ind w:left="3600" w:hanging="360"/>
      </w:pPr>
      <w:rPr>
        <w:rFonts w:ascii="Symbol" w:hAnsi="Symbol" w:hint="default"/>
      </w:rPr>
    </w:lvl>
    <w:lvl w:ilvl="5" w:tplc="4ACCE39C" w:tentative="1">
      <w:start w:val="1"/>
      <w:numFmt w:val="bullet"/>
      <w:lvlText w:val=""/>
      <w:lvlJc w:val="left"/>
      <w:pPr>
        <w:tabs>
          <w:tab w:val="num" w:pos="4320"/>
        </w:tabs>
        <w:ind w:left="4320" w:hanging="360"/>
      </w:pPr>
      <w:rPr>
        <w:rFonts w:ascii="Symbol" w:hAnsi="Symbol" w:hint="default"/>
      </w:rPr>
    </w:lvl>
    <w:lvl w:ilvl="6" w:tplc="6D7A5682" w:tentative="1">
      <w:start w:val="1"/>
      <w:numFmt w:val="bullet"/>
      <w:lvlText w:val=""/>
      <w:lvlJc w:val="left"/>
      <w:pPr>
        <w:tabs>
          <w:tab w:val="num" w:pos="5040"/>
        </w:tabs>
        <w:ind w:left="5040" w:hanging="360"/>
      </w:pPr>
      <w:rPr>
        <w:rFonts w:ascii="Symbol" w:hAnsi="Symbol" w:hint="default"/>
      </w:rPr>
    </w:lvl>
    <w:lvl w:ilvl="7" w:tplc="1F5A4BBE" w:tentative="1">
      <w:start w:val="1"/>
      <w:numFmt w:val="bullet"/>
      <w:lvlText w:val=""/>
      <w:lvlJc w:val="left"/>
      <w:pPr>
        <w:tabs>
          <w:tab w:val="num" w:pos="5760"/>
        </w:tabs>
        <w:ind w:left="5760" w:hanging="360"/>
      </w:pPr>
      <w:rPr>
        <w:rFonts w:ascii="Symbol" w:hAnsi="Symbol" w:hint="default"/>
      </w:rPr>
    </w:lvl>
    <w:lvl w:ilvl="8" w:tplc="1D04892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A00677"/>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C22DF1"/>
    <w:multiLevelType w:val="hybridMultilevel"/>
    <w:tmpl w:val="879E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45C6E"/>
    <w:multiLevelType w:val="multilevel"/>
    <w:tmpl w:val="21C4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D71063"/>
    <w:multiLevelType w:val="hybridMultilevel"/>
    <w:tmpl w:val="92E6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87716"/>
    <w:multiLevelType w:val="hybridMultilevel"/>
    <w:tmpl w:val="C4AEC98A"/>
    <w:lvl w:ilvl="0" w:tplc="70AAC20C">
      <w:start w:val="1"/>
      <w:numFmt w:val="bullet"/>
      <w:lvlText w:val=""/>
      <w:lvlJc w:val="left"/>
      <w:pPr>
        <w:tabs>
          <w:tab w:val="num" w:pos="720"/>
        </w:tabs>
        <w:ind w:left="720" w:hanging="360"/>
      </w:pPr>
      <w:rPr>
        <w:rFonts w:ascii="Symbol" w:hAnsi="Symbol" w:hint="default"/>
      </w:rPr>
    </w:lvl>
    <w:lvl w:ilvl="1" w:tplc="D4B24BF0" w:tentative="1">
      <w:start w:val="1"/>
      <w:numFmt w:val="bullet"/>
      <w:lvlText w:val=""/>
      <w:lvlJc w:val="left"/>
      <w:pPr>
        <w:tabs>
          <w:tab w:val="num" w:pos="1440"/>
        </w:tabs>
        <w:ind w:left="1440" w:hanging="360"/>
      </w:pPr>
      <w:rPr>
        <w:rFonts w:ascii="Symbol" w:hAnsi="Symbol" w:hint="default"/>
      </w:rPr>
    </w:lvl>
    <w:lvl w:ilvl="2" w:tplc="9814A602" w:tentative="1">
      <w:start w:val="1"/>
      <w:numFmt w:val="bullet"/>
      <w:lvlText w:val=""/>
      <w:lvlJc w:val="left"/>
      <w:pPr>
        <w:tabs>
          <w:tab w:val="num" w:pos="2160"/>
        </w:tabs>
        <w:ind w:left="2160" w:hanging="360"/>
      </w:pPr>
      <w:rPr>
        <w:rFonts w:ascii="Symbol" w:hAnsi="Symbol" w:hint="default"/>
      </w:rPr>
    </w:lvl>
    <w:lvl w:ilvl="3" w:tplc="44A86700" w:tentative="1">
      <w:start w:val="1"/>
      <w:numFmt w:val="bullet"/>
      <w:lvlText w:val=""/>
      <w:lvlJc w:val="left"/>
      <w:pPr>
        <w:tabs>
          <w:tab w:val="num" w:pos="2880"/>
        </w:tabs>
        <w:ind w:left="2880" w:hanging="360"/>
      </w:pPr>
      <w:rPr>
        <w:rFonts w:ascii="Symbol" w:hAnsi="Symbol" w:hint="default"/>
      </w:rPr>
    </w:lvl>
    <w:lvl w:ilvl="4" w:tplc="077C8C94" w:tentative="1">
      <w:start w:val="1"/>
      <w:numFmt w:val="bullet"/>
      <w:lvlText w:val=""/>
      <w:lvlJc w:val="left"/>
      <w:pPr>
        <w:tabs>
          <w:tab w:val="num" w:pos="3600"/>
        </w:tabs>
        <w:ind w:left="3600" w:hanging="360"/>
      </w:pPr>
      <w:rPr>
        <w:rFonts w:ascii="Symbol" w:hAnsi="Symbol" w:hint="default"/>
      </w:rPr>
    </w:lvl>
    <w:lvl w:ilvl="5" w:tplc="93DA7F16" w:tentative="1">
      <w:start w:val="1"/>
      <w:numFmt w:val="bullet"/>
      <w:lvlText w:val=""/>
      <w:lvlJc w:val="left"/>
      <w:pPr>
        <w:tabs>
          <w:tab w:val="num" w:pos="4320"/>
        </w:tabs>
        <w:ind w:left="4320" w:hanging="360"/>
      </w:pPr>
      <w:rPr>
        <w:rFonts w:ascii="Symbol" w:hAnsi="Symbol" w:hint="default"/>
      </w:rPr>
    </w:lvl>
    <w:lvl w:ilvl="6" w:tplc="CFB84890" w:tentative="1">
      <w:start w:val="1"/>
      <w:numFmt w:val="bullet"/>
      <w:lvlText w:val=""/>
      <w:lvlJc w:val="left"/>
      <w:pPr>
        <w:tabs>
          <w:tab w:val="num" w:pos="5040"/>
        </w:tabs>
        <w:ind w:left="5040" w:hanging="360"/>
      </w:pPr>
      <w:rPr>
        <w:rFonts w:ascii="Symbol" w:hAnsi="Symbol" w:hint="default"/>
      </w:rPr>
    </w:lvl>
    <w:lvl w:ilvl="7" w:tplc="511060F2" w:tentative="1">
      <w:start w:val="1"/>
      <w:numFmt w:val="bullet"/>
      <w:lvlText w:val=""/>
      <w:lvlJc w:val="left"/>
      <w:pPr>
        <w:tabs>
          <w:tab w:val="num" w:pos="5760"/>
        </w:tabs>
        <w:ind w:left="5760" w:hanging="360"/>
      </w:pPr>
      <w:rPr>
        <w:rFonts w:ascii="Symbol" w:hAnsi="Symbol" w:hint="default"/>
      </w:rPr>
    </w:lvl>
    <w:lvl w:ilvl="8" w:tplc="BF9AFE8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DDA3342"/>
    <w:multiLevelType w:val="hybridMultilevel"/>
    <w:tmpl w:val="C9D44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C0603"/>
    <w:multiLevelType w:val="multilevel"/>
    <w:tmpl w:val="8A36B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0E3F00"/>
    <w:multiLevelType w:val="multilevel"/>
    <w:tmpl w:val="6CB264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30D2321A"/>
    <w:multiLevelType w:val="hybridMultilevel"/>
    <w:tmpl w:val="B7747D56"/>
    <w:lvl w:ilvl="0" w:tplc="A940999E">
      <w:start w:val="1"/>
      <w:numFmt w:val="bullet"/>
      <w:lvlText w:val=""/>
      <w:lvlJc w:val="left"/>
      <w:pPr>
        <w:tabs>
          <w:tab w:val="num" w:pos="720"/>
        </w:tabs>
        <w:ind w:left="720" w:hanging="360"/>
      </w:pPr>
      <w:rPr>
        <w:rFonts w:ascii="Symbol" w:hAnsi="Symbol" w:hint="default"/>
      </w:rPr>
    </w:lvl>
    <w:lvl w:ilvl="1" w:tplc="F1F2578C" w:tentative="1">
      <w:start w:val="1"/>
      <w:numFmt w:val="bullet"/>
      <w:lvlText w:val=""/>
      <w:lvlJc w:val="left"/>
      <w:pPr>
        <w:tabs>
          <w:tab w:val="num" w:pos="1440"/>
        </w:tabs>
        <w:ind w:left="1440" w:hanging="360"/>
      </w:pPr>
      <w:rPr>
        <w:rFonts w:ascii="Symbol" w:hAnsi="Symbol" w:hint="default"/>
      </w:rPr>
    </w:lvl>
    <w:lvl w:ilvl="2" w:tplc="01F80722" w:tentative="1">
      <w:start w:val="1"/>
      <w:numFmt w:val="bullet"/>
      <w:lvlText w:val=""/>
      <w:lvlJc w:val="left"/>
      <w:pPr>
        <w:tabs>
          <w:tab w:val="num" w:pos="2160"/>
        </w:tabs>
        <w:ind w:left="2160" w:hanging="360"/>
      </w:pPr>
      <w:rPr>
        <w:rFonts w:ascii="Symbol" w:hAnsi="Symbol" w:hint="default"/>
      </w:rPr>
    </w:lvl>
    <w:lvl w:ilvl="3" w:tplc="E47E459E" w:tentative="1">
      <w:start w:val="1"/>
      <w:numFmt w:val="bullet"/>
      <w:lvlText w:val=""/>
      <w:lvlJc w:val="left"/>
      <w:pPr>
        <w:tabs>
          <w:tab w:val="num" w:pos="2880"/>
        </w:tabs>
        <w:ind w:left="2880" w:hanging="360"/>
      </w:pPr>
      <w:rPr>
        <w:rFonts w:ascii="Symbol" w:hAnsi="Symbol" w:hint="default"/>
      </w:rPr>
    </w:lvl>
    <w:lvl w:ilvl="4" w:tplc="1F46286C" w:tentative="1">
      <w:start w:val="1"/>
      <w:numFmt w:val="bullet"/>
      <w:lvlText w:val=""/>
      <w:lvlJc w:val="left"/>
      <w:pPr>
        <w:tabs>
          <w:tab w:val="num" w:pos="3600"/>
        </w:tabs>
        <w:ind w:left="3600" w:hanging="360"/>
      </w:pPr>
      <w:rPr>
        <w:rFonts w:ascii="Symbol" w:hAnsi="Symbol" w:hint="default"/>
      </w:rPr>
    </w:lvl>
    <w:lvl w:ilvl="5" w:tplc="0D4424AC" w:tentative="1">
      <w:start w:val="1"/>
      <w:numFmt w:val="bullet"/>
      <w:lvlText w:val=""/>
      <w:lvlJc w:val="left"/>
      <w:pPr>
        <w:tabs>
          <w:tab w:val="num" w:pos="4320"/>
        </w:tabs>
        <w:ind w:left="4320" w:hanging="360"/>
      </w:pPr>
      <w:rPr>
        <w:rFonts w:ascii="Symbol" w:hAnsi="Symbol" w:hint="default"/>
      </w:rPr>
    </w:lvl>
    <w:lvl w:ilvl="6" w:tplc="529810CE" w:tentative="1">
      <w:start w:val="1"/>
      <w:numFmt w:val="bullet"/>
      <w:lvlText w:val=""/>
      <w:lvlJc w:val="left"/>
      <w:pPr>
        <w:tabs>
          <w:tab w:val="num" w:pos="5040"/>
        </w:tabs>
        <w:ind w:left="5040" w:hanging="360"/>
      </w:pPr>
      <w:rPr>
        <w:rFonts w:ascii="Symbol" w:hAnsi="Symbol" w:hint="default"/>
      </w:rPr>
    </w:lvl>
    <w:lvl w:ilvl="7" w:tplc="FA0E84FA" w:tentative="1">
      <w:start w:val="1"/>
      <w:numFmt w:val="bullet"/>
      <w:lvlText w:val=""/>
      <w:lvlJc w:val="left"/>
      <w:pPr>
        <w:tabs>
          <w:tab w:val="num" w:pos="5760"/>
        </w:tabs>
        <w:ind w:left="5760" w:hanging="360"/>
      </w:pPr>
      <w:rPr>
        <w:rFonts w:ascii="Symbol" w:hAnsi="Symbol" w:hint="default"/>
      </w:rPr>
    </w:lvl>
    <w:lvl w:ilvl="8" w:tplc="EDD6C9F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27E50EC"/>
    <w:multiLevelType w:val="hybridMultilevel"/>
    <w:tmpl w:val="79BCA1A8"/>
    <w:lvl w:ilvl="0" w:tplc="5C8CD4DA">
      <w:start w:val="1"/>
      <w:numFmt w:val="bullet"/>
      <w:lvlText w:val=""/>
      <w:lvlJc w:val="left"/>
      <w:pPr>
        <w:tabs>
          <w:tab w:val="num" w:pos="720"/>
        </w:tabs>
        <w:ind w:left="720" w:hanging="360"/>
      </w:pPr>
      <w:rPr>
        <w:rFonts w:ascii="Symbol" w:hAnsi="Symbol" w:hint="default"/>
      </w:rPr>
    </w:lvl>
    <w:lvl w:ilvl="1" w:tplc="32681154" w:tentative="1">
      <w:start w:val="1"/>
      <w:numFmt w:val="bullet"/>
      <w:lvlText w:val=""/>
      <w:lvlJc w:val="left"/>
      <w:pPr>
        <w:tabs>
          <w:tab w:val="num" w:pos="1440"/>
        </w:tabs>
        <w:ind w:left="1440" w:hanging="360"/>
      </w:pPr>
      <w:rPr>
        <w:rFonts w:ascii="Symbol" w:hAnsi="Symbol" w:hint="default"/>
      </w:rPr>
    </w:lvl>
    <w:lvl w:ilvl="2" w:tplc="10609D16" w:tentative="1">
      <w:start w:val="1"/>
      <w:numFmt w:val="bullet"/>
      <w:lvlText w:val=""/>
      <w:lvlJc w:val="left"/>
      <w:pPr>
        <w:tabs>
          <w:tab w:val="num" w:pos="2160"/>
        </w:tabs>
        <w:ind w:left="2160" w:hanging="360"/>
      </w:pPr>
      <w:rPr>
        <w:rFonts w:ascii="Symbol" w:hAnsi="Symbol" w:hint="default"/>
      </w:rPr>
    </w:lvl>
    <w:lvl w:ilvl="3" w:tplc="EA4E74FE" w:tentative="1">
      <w:start w:val="1"/>
      <w:numFmt w:val="bullet"/>
      <w:lvlText w:val=""/>
      <w:lvlJc w:val="left"/>
      <w:pPr>
        <w:tabs>
          <w:tab w:val="num" w:pos="2880"/>
        </w:tabs>
        <w:ind w:left="2880" w:hanging="360"/>
      </w:pPr>
      <w:rPr>
        <w:rFonts w:ascii="Symbol" w:hAnsi="Symbol" w:hint="default"/>
      </w:rPr>
    </w:lvl>
    <w:lvl w:ilvl="4" w:tplc="C0609618" w:tentative="1">
      <w:start w:val="1"/>
      <w:numFmt w:val="bullet"/>
      <w:lvlText w:val=""/>
      <w:lvlJc w:val="left"/>
      <w:pPr>
        <w:tabs>
          <w:tab w:val="num" w:pos="3600"/>
        </w:tabs>
        <w:ind w:left="3600" w:hanging="360"/>
      </w:pPr>
      <w:rPr>
        <w:rFonts w:ascii="Symbol" w:hAnsi="Symbol" w:hint="default"/>
      </w:rPr>
    </w:lvl>
    <w:lvl w:ilvl="5" w:tplc="BE789546" w:tentative="1">
      <w:start w:val="1"/>
      <w:numFmt w:val="bullet"/>
      <w:lvlText w:val=""/>
      <w:lvlJc w:val="left"/>
      <w:pPr>
        <w:tabs>
          <w:tab w:val="num" w:pos="4320"/>
        </w:tabs>
        <w:ind w:left="4320" w:hanging="360"/>
      </w:pPr>
      <w:rPr>
        <w:rFonts w:ascii="Symbol" w:hAnsi="Symbol" w:hint="default"/>
      </w:rPr>
    </w:lvl>
    <w:lvl w:ilvl="6" w:tplc="30E2CC30" w:tentative="1">
      <w:start w:val="1"/>
      <w:numFmt w:val="bullet"/>
      <w:lvlText w:val=""/>
      <w:lvlJc w:val="left"/>
      <w:pPr>
        <w:tabs>
          <w:tab w:val="num" w:pos="5040"/>
        </w:tabs>
        <w:ind w:left="5040" w:hanging="360"/>
      </w:pPr>
      <w:rPr>
        <w:rFonts w:ascii="Symbol" w:hAnsi="Symbol" w:hint="default"/>
      </w:rPr>
    </w:lvl>
    <w:lvl w:ilvl="7" w:tplc="F6D2984A" w:tentative="1">
      <w:start w:val="1"/>
      <w:numFmt w:val="bullet"/>
      <w:lvlText w:val=""/>
      <w:lvlJc w:val="left"/>
      <w:pPr>
        <w:tabs>
          <w:tab w:val="num" w:pos="5760"/>
        </w:tabs>
        <w:ind w:left="5760" w:hanging="360"/>
      </w:pPr>
      <w:rPr>
        <w:rFonts w:ascii="Symbol" w:hAnsi="Symbol" w:hint="default"/>
      </w:rPr>
    </w:lvl>
    <w:lvl w:ilvl="8" w:tplc="CC3CC1F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5182674"/>
    <w:multiLevelType w:val="hybridMultilevel"/>
    <w:tmpl w:val="FD1CA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50338"/>
    <w:multiLevelType w:val="hybridMultilevel"/>
    <w:tmpl w:val="334A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F5AE0"/>
    <w:multiLevelType w:val="multilevel"/>
    <w:tmpl w:val="21C4E7F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3BD06729"/>
    <w:multiLevelType w:val="hybridMultilevel"/>
    <w:tmpl w:val="1324C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9F6B61"/>
    <w:multiLevelType w:val="hybridMultilevel"/>
    <w:tmpl w:val="B0AE733E"/>
    <w:lvl w:ilvl="0" w:tplc="3F5E42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2433DAA"/>
    <w:multiLevelType w:val="hybridMultilevel"/>
    <w:tmpl w:val="A658059E"/>
    <w:lvl w:ilvl="0" w:tplc="CC4656D8">
      <w:start w:val="1"/>
      <w:numFmt w:val="bullet"/>
      <w:lvlText w:val=""/>
      <w:lvlJc w:val="left"/>
      <w:pPr>
        <w:tabs>
          <w:tab w:val="num" w:pos="720"/>
        </w:tabs>
        <w:ind w:left="720" w:hanging="360"/>
      </w:pPr>
      <w:rPr>
        <w:rFonts w:ascii="Symbol" w:hAnsi="Symbol" w:hint="default"/>
      </w:rPr>
    </w:lvl>
    <w:lvl w:ilvl="1" w:tplc="281E8324" w:tentative="1">
      <w:start w:val="1"/>
      <w:numFmt w:val="bullet"/>
      <w:lvlText w:val=""/>
      <w:lvlJc w:val="left"/>
      <w:pPr>
        <w:tabs>
          <w:tab w:val="num" w:pos="1440"/>
        </w:tabs>
        <w:ind w:left="1440" w:hanging="360"/>
      </w:pPr>
      <w:rPr>
        <w:rFonts w:ascii="Symbol" w:hAnsi="Symbol" w:hint="default"/>
      </w:rPr>
    </w:lvl>
    <w:lvl w:ilvl="2" w:tplc="A61C17A0" w:tentative="1">
      <w:start w:val="1"/>
      <w:numFmt w:val="bullet"/>
      <w:lvlText w:val=""/>
      <w:lvlJc w:val="left"/>
      <w:pPr>
        <w:tabs>
          <w:tab w:val="num" w:pos="2160"/>
        </w:tabs>
        <w:ind w:left="2160" w:hanging="360"/>
      </w:pPr>
      <w:rPr>
        <w:rFonts w:ascii="Symbol" w:hAnsi="Symbol" w:hint="default"/>
      </w:rPr>
    </w:lvl>
    <w:lvl w:ilvl="3" w:tplc="9EA83FE4" w:tentative="1">
      <w:start w:val="1"/>
      <w:numFmt w:val="bullet"/>
      <w:lvlText w:val=""/>
      <w:lvlJc w:val="left"/>
      <w:pPr>
        <w:tabs>
          <w:tab w:val="num" w:pos="2880"/>
        </w:tabs>
        <w:ind w:left="2880" w:hanging="360"/>
      </w:pPr>
      <w:rPr>
        <w:rFonts w:ascii="Symbol" w:hAnsi="Symbol" w:hint="default"/>
      </w:rPr>
    </w:lvl>
    <w:lvl w:ilvl="4" w:tplc="91DE61A6" w:tentative="1">
      <w:start w:val="1"/>
      <w:numFmt w:val="bullet"/>
      <w:lvlText w:val=""/>
      <w:lvlJc w:val="left"/>
      <w:pPr>
        <w:tabs>
          <w:tab w:val="num" w:pos="3600"/>
        </w:tabs>
        <w:ind w:left="3600" w:hanging="360"/>
      </w:pPr>
      <w:rPr>
        <w:rFonts w:ascii="Symbol" w:hAnsi="Symbol" w:hint="default"/>
      </w:rPr>
    </w:lvl>
    <w:lvl w:ilvl="5" w:tplc="AC18859E" w:tentative="1">
      <w:start w:val="1"/>
      <w:numFmt w:val="bullet"/>
      <w:lvlText w:val=""/>
      <w:lvlJc w:val="left"/>
      <w:pPr>
        <w:tabs>
          <w:tab w:val="num" w:pos="4320"/>
        </w:tabs>
        <w:ind w:left="4320" w:hanging="360"/>
      </w:pPr>
      <w:rPr>
        <w:rFonts w:ascii="Symbol" w:hAnsi="Symbol" w:hint="default"/>
      </w:rPr>
    </w:lvl>
    <w:lvl w:ilvl="6" w:tplc="7ACA3C04" w:tentative="1">
      <w:start w:val="1"/>
      <w:numFmt w:val="bullet"/>
      <w:lvlText w:val=""/>
      <w:lvlJc w:val="left"/>
      <w:pPr>
        <w:tabs>
          <w:tab w:val="num" w:pos="5040"/>
        </w:tabs>
        <w:ind w:left="5040" w:hanging="360"/>
      </w:pPr>
      <w:rPr>
        <w:rFonts w:ascii="Symbol" w:hAnsi="Symbol" w:hint="default"/>
      </w:rPr>
    </w:lvl>
    <w:lvl w:ilvl="7" w:tplc="F942E53C" w:tentative="1">
      <w:start w:val="1"/>
      <w:numFmt w:val="bullet"/>
      <w:lvlText w:val=""/>
      <w:lvlJc w:val="left"/>
      <w:pPr>
        <w:tabs>
          <w:tab w:val="num" w:pos="5760"/>
        </w:tabs>
        <w:ind w:left="5760" w:hanging="360"/>
      </w:pPr>
      <w:rPr>
        <w:rFonts w:ascii="Symbol" w:hAnsi="Symbol" w:hint="default"/>
      </w:rPr>
    </w:lvl>
    <w:lvl w:ilvl="8" w:tplc="E838395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EF7CE2"/>
    <w:multiLevelType w:val="hybridMultilevel"/>
    <w:tmpl w:val="FE5E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80C2A"/>
    <w:multiLevelType w:val="multilevel"/>
    <w:tmpl w:val="9EA83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71067E"/>
    <w:multiLevelType w:val="hybridMultilevel"/>
    <w:tmpl w:val="9B0C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E45EE"/>
    <w:multiLevelType w:val="hybridMultilevel"/>
    <w:tmpl w:val="E6F8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77E9A"/>
    <w:multiLevelType w:val="multilevel"/>
    <w:tmpl w:val="50E4C4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4F0931"/>
    <w:multiLevelType w:val="multilevel"/>
    <w:tmpl w:val="9120E3D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AF431D"/>
    <w:multiLevelType w:val="hybridMultilevel"/>
    <w:tmpl w:val="F8C8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51FA2"/>
    <w:multiLevelType w:val="hybridMultilevel"/>
    <w:tmpl w:val="604A935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7DE63586"/>
    <w:multiLevelType w:val="hybridMultilevel"/>
    <w:tmpl w:val="0FA2327A"/>
    <w:lvl w:ilvl="0" w:tplc="F3E89CA4">
      <w:start w:val="1"/>
      <w:numFmt w:val="bullet"/>
      <w:lvlText w:val=""/>
      <w:lvlJc w:val="left"/>
      <w:pPr>
        <w:tabs>
          <w:tab w:val="num" w:pos="720"/>
        </w:tabs>
        <w:ind w:left="720" w:hanging="360"/>
      </w:pPr>
      <w:rPr>
        <w:rFonts w:ascii="Symbol" w:hAnsi="Symbol" w:hint="default"/>
      </w:rPr>
    </w:lvl>
    <w:lvl w:ilvl="1" w:tplc="D50CAF7E" w:tentative="1">
      <w:start w:val="1"/>
      <w:numFmt w:val="bullet"/>
      <w:lvlText w:val=""/>
      <w:lvlJc w:val="left"/>
      <w:pPr>
        <w:tabs>
          <w:tab w:val="num" w:pos="1440"/>
        </w:tabs>
        <w:ind w:left="1440" w:hanging="360"/>
      </w:pPr>
      <w:rPr>
        <w:rFonts w:ascii="Symbol" w:hAnsi="Symbol" w:hint="default"/>
      </w:rPr>
    </w:lvl>
    <w:lvl w:ilvl="2" w:tplc="2B92FF80" w:tentative="1">
      <w:start w:val="1"/>
      <w:numFmt w:val="bullet"/>
      <w:lvlText w:val=""/>
      <w:lvlJc w:val="left"/>
      <w:pPr>
        <w:tabs>
          <w:tab w:val="num" w:pos="2160"/>
        </w:tabs>
        <w:ind w:left="2160" w:hanging="360"/>
      </w:pPr>
      <w:rPr>
        <w:rFonts w:ascii="Symbol" w:hAnsi="Symbol" w:hint="default"/>
      </w:rPr>
    </w:lvl>
    <w:lvl w:ilvl="3" w:tplc="725EDBD6" w:tentative="1">
      <w:start w:val="1"/>
      <w:numFmt w:val="bullet"/>
      <w:lvlText w:val=""/>
      <w:lvlJc w:val="left"/>
      <w:pPr>
        <w:tabs>
          <w:tab w:val="num" w:pos="2880"/>
        </w:tabs>
        <w:ind w:left="2880" w:hanging="360"/>
      </w:pPr>
      <w:rPr>
        <w:rFonts w:ascii="Symbol" w:hAnsi="Symbol" w:hint="default"/>
      </w:rPr>
    </w:lvl>
    <w:lvl w:ilvl="4" w:tplc="6220D2AA" w:tentative="1">
      <w:start w:val="1"/>
      <w:numFmt w:val="bullet"/>
      <w:lvlText w:val=""/>
      <w:lvlJc w:val="left"/>
      <w:pPr>
        <w:tabs>
          <w:tab w:val="num" w:pos="3600"/>
        </w:tabs>
        <w:ind w:left="3600" w:hanging="360"/>
      </w:pPr>
      <w:rPr>
        <w:rFonts w:ascii="Symbol" w:hAnsi="Symbol" w:hint="default"/>
      </w:rPr>
    </w:lvl>
    <w:lvl w:ilvl="5" w:tplc="435A6A7E" w:tentative="1">
      <w:start w:val="1"/>
      <w:numFmt w:val="bullet"/>
      <w:lvlText w:val=""/>
      <w:lvlJc w:val="left"/>
      <w:pPr>
        <w:tabs>
          <w:tab w:val="num" w:pos="4320"/>
        </w:tabs>
        <w:ind w:left="4320" w:hanging="360"/>
      </w:pPr>
      <w:rPr>
        <w:rFonts w:ascii="Symbol" w:hAnsi="Symbol" w:hint="default"/>
      </w:rPr>
    </w:lvl>
    <w:lvl w:ilvl="6" w:tplc="F02679F2" w:tentative="1">
      <w:start w:val="1"/>
      <w:numFmt w:val="bullet"/>
      <w:lvlText w:val=""/>
      <w:lvlJc w:val="left"/>
      <w:pPr>
        <w:tabs>
          <w:tab w:val="num" w:pos="5040"/>
        </w:tabs>
        <w:ind w:left="5040" w:hanging="360"/>
      </w:pPr>
      <w:rPr>
        <w:rFonts w:ascii="Symbol" w:hAnsi="Symbol" w:hint="default"/>
      </w:rPr>
    </w:lvl>
    <w:lvl w:ilvl="7" w:tplc="C4A20ADA" w:tentative="1">
      <w:start w:val="1"/>
      <w:numFmt w:val="bullet"/>
      <w:lvlText w:val=""/>
      <w:lvlJc w:val="left"/>
      <w:pPr>
        <w:tabs>
          <w:tab w:val="num" w:pos="5760"/>
        </w:tabs>
        <w:ind w:left="5760" w:hanging="360"/>
      </w:pPr>
      <w:rPr>
        <w:rFonts w:ascii="Symbol" w:hAnsi="Symbol" w:hint="default"/>
      </w:rPr>
    </w:lvl>
    <w:lvl w:ilvl="8" w:tplc="C8F02CF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FEC52B7"/>
    <w:multiLevelType w:val="hybridMultilevel"/>
    <w:tmpl w:val="0ED8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683913">
    <w:abstractNumId w:val="7"/>
  </w:num>
  <w:num w:numId="2" w16cid:durableId="872112993">
    <w:abstractNumId w:val="17"/>
  </w:num>
  <w:num w:numId="3" w16cid:durableId="1649550422">
    <w:abstractNumId w:val="32"/>
  </w:num>
  <w:num w:numId="4" w16cid:durableId="1687633011">
    <w:abstractNumId w:val="16"/>
  </w:num>
  <w:num w:numId="5" w16cid:durableId="322705875">
    <w:abstractNumId w:val="23"/>
  </w:num>
  <w:num w:numId="6" w16cid:durableId="1037119777">
    <w:abstractNumId w:val="3"/>
  </w:num>
  <w:num w:numId="7" w16cid:durableId="528639615">
    <w:abstractNumId w:val="25"/>
  </w:num>
  <w:num w:numId="8" w16cid:durableId="448863912">
    <w:abstractNumId w:val="6"/>
  </w:num>
  <w:num w:numId="9" w16cid:durableId="545794858">
    <w:abstractNumId w:val="14"/>
  </w:num>
  <w:num w:numId="10" w16cid:durableId="1920166497">
    <w:abstractNumId w:val="20"/>
  </w:num>
  <w:num w:numId="11" w16cid:durableId="348336741">
    <w:abstractNumId w:val="5"/>
  </w:num>
  <w:num w:numId="12" w16cid:durableId="1902716318">
    <w:abstractNumId w:val="15"/>
  </w:num>
  <w:num w:numId="13" w16cid:durableId="1963263115">
    <w:abstractNumId w:val="28"/>
  </w:num>
  <w:num w:numId="14" w16cid:durableId="446897039">
    <w:abstractNumId w:val="2"/>
  </w:num>
  <w:num w:numId="15" w16cid:durableId="880359756">
    <w:abstractNumId w:val="10"/>
  </w:num>
  <w:num w:numId="16" w16cid:durableId="298801893">
    <w:abstractNumId w:val="8"/>
  </w:num>
  <w:num w:numId="17" w16cid:durableId="330987062">
    <w:abstractNumId w:val="29"/>
  </w:num>
  <w:num w:numId="18" w16cid:durableId="1419591714">
    <w:abstractNumId w:val="24"/>
  </w:num>
  <w:num w:numId="19" w16cid:durableId="1221820290">
    <w:abstractNumId w:val="1"/>
  </w:num>
  <w:num w:numId="20" w16cid:durableId="1616475059">
    <w:abstractNumId w:val="30"/>
  </w:num>
  <w:num w:numId="21" w16cid:durableId="976758641">
    <w:abstractNumId w:val="19"/>
  </w:num>
  <w:num w:numId="22" w16cid:durableId="1174760248">
    <w:abstractNumId w:val="33"/>
  </w:num>
  <w:num w:numId="23" w16cid:durableId="1890916817">
    <w:abstractNumId w:val="31"/>
  </w:num>
  <w:num w:numId="24" w16cid:durableId="676545791">
    <w:abstractNumId w:val="26"/>
  </w:num>
  <w:num w:numId="25" w16cid:durableId="1184443498">
    <w:abstractNumId w:val="0"/>
  </w:num>
  <w:num w:numId="26" w16cid:durableId="560990552">
    <w:abstractNumId w:val="9"/>
  </w:num>
  <w:num w:numId="27" w16cid:durableId="107353408">
    <w:abstractNumId w:val="27"/>
  </w:num>
  <w:num w:numId="28" w16cid:durableId="459802974">
    <w:abstractNumId w:val="11"/>
  </w:num>
  <w:num w:numId="29" w16cid:durableId="600721779">
    <w:abstractNumId w:val="4"/>
  </w:num>
  <w:num w:numId="30" w16cid:durableId="1055853871">
    <w:abstractNumId w:val="13"/>
  </w:num>
  <w:num w:numId="31" w16cid:durableId="454176384">
    <w:abstractNumId w:val="21"/>
  </w:num>
  <w:num w:numId="32" w16cid:durableId="2081636677">
    <w:abstractNumId w:val="12"/>
  </w:num>
  <w:num w:numId="33" w16cid:durableId="1388185245">
    <w:abstractNumId w:val="22"/>
  </w:num>
  <w:num w:numId="34" w16cid:durableId="17920180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73"/>
    <w:rsid w:val="0000042E"/>
    <w:rsid w:val="00001A4B"/>
    <w:rsid w:val="0001214A"/>
    <w:rsid w:val="000141A9"/>
    <w:rsid w:val="00015DE6"/>
    <w:rsid w:val="0002303C"/>
    <w:rsid w:val="00023321"/>
    <w:rsid w:val="00025DB8"/>
    <w:rsid w:val="0003368E"/>
    <w:rsid w:val="00033AE1"/>
    <w:rsid w:val="00035D3F"/>
    <w:rsid w:val="00037D3A"/>
    <w:rsid w:val="00037FC6"/>
    <w:rsid w:val="00042532"/>
    <w:rsid w:val="00042640"/>
    <w:rsid w:val="000436A0"/>
    <w:rsid w:val="00043B41"/>
    <w:rsid w:val="00044679"/>
    <w:rsid w:val="00046599"/>
    <w:rsid w:val="00046E3C"/>
    <w:rsid w:val="0005264B"/>
    <w:rsid w:val="000563FA"/>
    <w:rsid w:val="000601EB"/>
    <w:rsid w:val="00060D1D"/>
    <w:rsid w:val="00061A68"/>
    <w:rsid w:val="00062A32"/>
    <w:rsid w:val="00065623"/>
    <w:rsid w:val="00065E96"/>
    <w:rsid w:val="00066A3E"/>
    <w:rsid w:val="00070B1F"/>
    <w:rsid w:val="00073117"/>
    <w:rsid w:val="0007745C"/>
    <w:rsid w:val="0008004A"/>
    <w:rsid w:val="00081FCE"/>
    <w:rsid w:val="00084DDA"/>
    <w:rsid w:val="00087136"/>
    <w:rsid w:val="00087774"/>
    <w:rsid w:val="000916A3"/>
    <w:rsid w:val="0009206B"/>
    <w:rsid w:val="00094A82"/>
    <w:rsid w:val="000977A6"/>
    <w:rsid w:val="000A0396"/>
    <w:rsid w:val="000A36BD"/>
    <w:rsid w:val="000A4CBC"/>
    <w:rsid w:val="000A5866"/>
    <w:rsid w:val="000A5EFF"/>
    <w:rsid w:val="000B5666"/>
    <w:rsid w:val="000B6B74"/>
    <w:rsid w:val="000C0AF0"/>
    <w:rsid w:val="000C69B7"/>
    <w:rsid w:val="000C6C59"/>
    <w:rsid w:val="000D482A"/>
    <w:rsid w:val="000D5F6C"/>
    <w:rsid w:val="000D6990"/>
    <w:rsid w:val="000E56EB"/>
    <w:rsid w:val="000E7992"/>
    <w:rsid w:val="000F31B5"/>
    <w:rsid w:val="000F3294"/>
    <w:rsid w:val="000F34AD"/>
    <w:rsid w:val="000F3A5E"/>
    <w:rsid w:val="000F54A5"/>
    <w:rsid w:val="00107ADF"/>
    <w:rsid w:val="00123E5A"/>
    <w:rsid w:val="0012605D"/>
    <w:rsid w:val="00141B96"/>
    <w:rsid w:val="001424DB"/>
    <w:rsid w:val="00144EE0"/>
    <w:rsid w:val="00151F96"/>
    <w:rsid w:val="00152B59"/>
    <w:rsid w:val="00152F85"/>
    <w:rsid w:val="00154798"/>
    <w:rsid w:val="00154E50"/>
    <w:rsid w:val="00160E3E"/>
    <w:rsid w:val="00162F22"/>
    <w:rsid w:val="00163BC3"/>
    <w:rsid w:val="001644E8"/>
    <w:rsid w:val="00165937"/>
    <w:rsid w:val="00167BCF"/>
    <w:rsid w:val="0017195F"/>
    <w:rsid w:val="00173201"/>
    <w:rsid w:val="001773F5"/>
    <w:rsid w:val="0018362D"/>
    <w:rsid w:val="001851DB"/>
    <w:rsid w:val="00185258"/>
    <w:rsid w:val="001901C0"/>
    <w:rsid w:val="00192ECD"/>
    <w:rsid w:val="00195428"/>
    <w:rsid w:val="00197070"/>
    <w:rsid w:val="001B0892"/>
    <w:rsid w:val="001B5842"/>
    <w:rsid w:val="001B7763"/>
    <w:rsid w:val="001C2E08"/>
    <w:rsid w:val="001D11F0"/>
    <w:rsid w:val="001D1948"/>
    <w:rsid w:val="001D2351"/>
    <w:rsid w:val="001D6ED6"/>
    <w:rsid w:val="001D741E"/>
    <w:rsid w:val="001E1ABA"/>
    <w:rsid w:val="001E35D1"/>
    <w:rsid w:val="001E35F3"/>
    <w:rsid w:val="001E491A"/>
    <w:rsid w:val="001E5BE8"/>
    <w:rsid w:val="001F05F4"/>
    <w:rsid w:val="001F1836"/>
    <w:rsid w:val="001F1EF7"/>
    <w:rsid w:val="001F57A1"/>
    <w:rsid w:val="001F60DF"/>
    <w:rsid w:val="001F66AB"/>
    <w:rsid w:val="002002BE"/>
    <w:rsid w:val="002008F4"/>
    <w:rsid w:val="002009FF"/>
    <w:rsid w:val="00201CF1"/>
    <w:rsid w:val="00204021"/>
    <w:rsid w:val="00204686"/>
    <w:rsid w:val="002049CC"/>
    <w:rsid w:val="002070DA"/>
    <w:rsid w:val="0020774E"/>
    <w:rsid w:val="002115D8"/>
    <w:rsid w:val="002117E8"/>
    <w:rsid w:val="00212C3F"/>
    <w:rsid w:val="00216814"/>
    <w:rsid w:val="00217C22"/>
    <w:rsid w:val="0022486D"/>
    <w:rsid w:val="00225035"/>
    <w:rsid w:val="00227FBE"/>
    <w:rsid w:val="00235FBF"/>
    <w:rsid w:val="00245121"/>
    <w:rsid w:val="00245CF3"/>
    <w:rsid w:val="002512AD"/>
    <w:rsid w:val="002567F4"/>
    <w:rsid w:val="0025741A"/>
    <w:rsid w:val="00261BBD"/>
    <w:rsid w:val="0026746C"/>
    <w:rsid w:val="00277066"/>
    <w:rsid w:val="002843FC"/>
    <w:rsid w:val="00285491"/>
    <w:rsid w:val="00287730"/>
    <w:rsid w:val="00291E0D"/>
    <w:rsid w:val="00292A33"/>
    <w:rsid w:val="002A41F2"/>
    <w:rsid w:val="002A4842"/>
    <w:rsid w:val="002A75DF"/>
    <w:rsid w:val="002B33A6"/>
    <w:rsid w:val="002C57C9"/>
    <w:rsid w:val="002D2FA5"/>
    <w:rsid w:val="002D33CD"/>
    <w:rsid w:val="002E6C25"/>
    <w:rsid w:val="002F0B04"/>
    <w:rsid w:val="002F13B7"/>
    <w:rsid w:val="002F2BE1"/>
    <w:rsid w:val="002F4EC5"/>
    <w:rsid w:val="002F5BBE"/>
    <w:rsid w:val="002F6CB6"/>
    <w:rsid w:val="00301493"/>
    <w:rsid w:val="00303BB8"/>
    <w:rsid w:val="003056DD"/>
    <w:rsid w:val="00313F9F"/>
    <w:rsid w:val="003172AA"/>
    <w:rsid w:val="003174A4"/>
    <w:rsid w:val="00320A29"/>
    <w:rsid w:val="00324E9E"/>
    <w:rsid w:val="00325956"/>
    <w:rsid w:val="00334775"/>
    <w:rsid w:val="00335CB6"/>
    <w:rsid w:val="003362C7"/>
    <w:rsid w:val="00336DF5"/>
    <w:rsid w:val="00340846"/>
    <w:rsid w:val="00340DE8"/>
    <w:rsid w:val="00341C59"/>
    <w:rsid w:val="00341CA7"/>
    <w:rsid w:val="00344DA7"/>
    <w:rsid w:val="00346360"/>
    <w:rsid w:val="00350592"/>
    <w:rsid w:val="00362B99"/>
    <w:rsid w:val="00365C4D"/>
    <w:rsid w:val="00366F99"/>
    <w:rsid w:val="00367868"/>
    <w:rsid w:val="00371036"/>
    <w:rsid w:val="00376ADD"/>
    <w:rsid w:val="00381A93"/>
    <w:rsid w:val="003852D2"/>
    <w:rsid w:val="00396C0A"/>
    <w:rsid w:val="003A2597"/>
    <w:rsid w:val="003A27E8"/>
    <w:rsid w:val="003A5C3D"/>
    <w:rsid w:val="003C37DB"/>
    <w:rsid w:val="003D073C"/>
    <w:rsid w:val="003D59E4"/>
    <w:rsid w:val="003E45F7"/>
    <w:rsid w:val="003E4F59"/>
    <w:rsid w:val="003F1A30"/>
    <w:rsid w:val="003F4611"/>
    <w:rsid w:val="003F64E6"/>
    <w:rsid w:val="00401B15"/>
    <w:rsid w:val="00410C85"/>
    <w:rsid w:val="00412E8A"/>
    <w:rsid w:val="004162E7"/>
    <w:rsid w:val="00420154"/>
    <w:rsid w:val="004219B2"/>
    <w:rsid w:val="00421F67"/>
    <w:rsid w:val="00425F2D"/>
    <w:rsid w:val="004261F1"/>
    <w:rsid w:val="004337FA"/>
    <w:rsid w:val="004412CE"/>
    <w:rsid w:val="00444D4F"/>
    <w:rsid w:val="00445765"/>
    <w:rsid w:val="00445B3B"/>
    <w:rsid w:val="00463C76"/>
    <w:rsid w:val="00465891"/>
    <w:rsid w:val="004759B5"/>
    <w:rsid w:val="00476EA1"/>
    <w:rsid w:val="00482F51"/>
    <w:rsid w:val="00484A36"/>
    <w:rsid w:val="0049090E"/>
    <w:rsid w:val="00495040"/>
    <w:rsid w:val="004965E0"/>
    <w:rsid w:val="00497F35"/>
    <w:rsid w:val="004A09D3"/>
    <w:rsid w:val="004A0FC6"/>
    <w:rsid w:val="004A1D2F"/>
    <w:rsid w:val="004B5635"/>
    <w:rsid w:val="004C2853"/>
    <w:rsid w:val="004C45F5"/>
    <w:rsid w:val="004C6809"/>
    <w:rsid w:val="004D3E3E"/>
    <w:rsid w:val="004D7195"/>
    <w:rsid w:val="004E288E"/>
    <w:rsid w:val="004E48ED"/>
    <w:rsid w:val="004E4D87"/>
    <w:rsid w:val="004E50F8"/>
    <w:rsid w:val="004E5A66"/>
    <w:rsid w:val="004F066F"/>
    <w:rsid w:val="004F1791"/>
    <w:rsid w:val="004F2CDA"/>
    <w:rsid w:val="00500780"/>
    <w:rsid w:val="00501634"/>
    <w:rsid w:val="00502DE6"/>
    <w:rsid w:val="00503F89"/>
    <w:rsid w:val="0050461E"/>
    <w:rsid w:val="00504F33"/>
    <w:rsid w:val="00512FA9"/>
    <w:rsid w:val="00514816"/>
    <w:rsid w:val="00515644"/>
    <w:rsid w:val="005160B4"/>
    <w:rsid w:val="00516AC6"/>
    <w:rsid w:val="00521CB1"/>
    <w:rsid w:val="00522D98"/>
    <w:rsid w:val="00526047"/>
    <w:rsid w:val="00532304"/>
    <w:rsid w:val="00533D0F"/>
    <w:rsid w:val="00536C4F"/>
    <w:rsid w:val="005429E3"/>
    <w:rsid w:val="0054695E"/>
    <w:rsid w:val="005507A6"/>
    <w:rsid w:val="005547D2"/>
    <w:rsid w:val="00554B20"/>
    <w:rsid w:val="00557B55"/>
    <w:rsid w:val="00560132"/>
    <w:rsid w:val="005617A8"/>
    <w:rsid w:val="0056427A"/>
    <w:rsid w:val="0056685D"/>
    <w:rsid w:val="00571C89"/>
    <w:rsid w:val="00575461"/>
    <w:rsid w:val="005807BC"/>
    <w:rsid w:val="00581098"/>
    <w:rsid w:val="00581460"/>
    <w:rsid w:val="005833E6"/>
    <w:rsid w:val="005949BC"/>
    <w:rsid w:val="005A0290"/>
    <w:rsid w:val="005A37FC"/>
    <w:rsid w:val="005A4699"/>
    <w:rsid w:val="005A473E"/>
    <w:rsid w:val="005A56B4"/>
    <w:rsid w:val="005A6B67"/>
    <w:rsid w:val="005B63FC"/>
    <w:rsid w:val="005C3BA3"/>
    <w:rsid w:val="005C5A4D"/>
    <w:rsid w:val="005D0795"/>
    <w:rsid w:val="005D0A08"/>
    <w:rsid w:val="005D15F2"/>
    <w:rsid w:val="005D36DC"/>
    <w:rsid w:val="005D5168"/>
    <w:rsid w:val="005D5CB8"/>
    <w:rsid w:val="005E19EC"/>
    <w:rsid w:val="005E648A"/>
    <w:rsid w:val="005E651C"/>
    <w:rsid w:val="005F42BE"/>
    <w:rsid w:val="005F4774"/>
    <w:rsid w:val="005F4E27"/>
    <w:rsid w:val="005F6448"/>
    <w:rsid w:val="00602655"/>
    <w:rsid w:val="00602CD1"/>
    <w:rsid w:val="00610EB2"/>
    <w:rsid w:val="00611FA5"/>
    <w:rsid w:val="0061595F"/>
    <w:rsid w:val="00615C91"/>
    <w:rsid w:val="00620248"/>
    <w:rsid w:val="00620C24"/>
    <w:rsid w:val="00622911"/>
    <w:rsid w:val="00623C20"/>
    <w:rsid w:val="0063508C"/>
    <w:rsid w:val="00643B6E"/>
    <w:rsid w:val="00644AD1"/>
    <w:rsid w:val="0064587F"/>
    <w:rsid w:val="0065423D"/>
    <w:rsid w:val="006548DC"/>
    <w:rsid w:val="00661281"/>
    <w:rsid w:val="00662A22"/>
    <w:rsid w:val="00666E45"/>
    <w:rsid w:val="006675D5"/>
    <w:rsid w:val="00671CCA"/>
    <w:rsid w:val="00673F62"/>
    <w:rsid w:val="0067557F"/>
    <w:rsid w:val="00681FE5"/>
    <w:rsid w:val="006846AD"/>
    <w:rsid w:val="006856B5"/>
    <w:rsid w:val="00687DEE"/>
    <w:rsid w:val="00691093"/>
    <w:rsid w:val="0069386D"/>
    <w:rsid w:val="00695EB6"/>
    <w:rsid w:val="006A15A3"/>
    <w:rsid w:val="006A6546"/>
    <w:rsid w:val="006A700E"/>
    <w:rsid w:val="006B2434"/>
    <w:rsid w:val="006B523D"/>
    <w:rsid w:val="006B78A5"/>
    <w:rsid w:val="006C3463"/>
    <w:rsid w:val="006D0C6F"/>
    <w:rsid w:val="006D172D"/>
    <w:rsid w:val="006D3A90"/>
    <w:rsid w:val="006E4B65"/>
    <w:rsid w:val="006F01F7"/>
    <w:rsid w:val="006F37B4"/>
    <w:rsid w:val="006F6DB2"/>
    <w:rsid w:val="007032C7"/>
    <w:rsid w:val="007067F5"/>
    <w:rsid w:val="00706AF6"/>
    <w:rsid w:val="00711BE0"/>
    <w:rsid w:val="00712902"/>
    <w:rsid w:val="00714C90"/>
    <w:rsid w:val="00717E50"/>
    <w:rsid w:val="007225B8"/>
    <w:rsid w:val="00724FAA"/>
    <w:rsid w:val="007267C1"/>
    <w:rsid w:val="00735EFA"/>
    <w:rsid w:val="007401DD"/>
    <w:rsid w:val="00741E48"/>
    <w:rsid w:val="007469D4"/>
    <w:rsid w:val="00755DF1"/>
    <w:rsid w:val="00762CD1"/>
    <w:rsid w:val="00763A8B"/>
    <w:rsid w:val="00767179"/>
    <w:rsid w:val="00767A4C"/>
    <w:rsid w:val="0077120B"/>
    <w:rsid w:val="00780D9E"/>
    <w:rsid w:val="00781239"/>
    <w:rsid w:val="0078406E"/>
    <w:rsid w:val="00786901"/>
    <w:rsid w:val="007877EB"/>
    <w:rsid w:val="0079651C"/>
    <w:rsid w:val="00796B0D"/>
    <w:rsid w:val="0079702C"/>
    <w:rsid w:val="007A5E31"/>
    <w:rsid w:val="007B14CD"/>
    <w:rsid w:val="007B4073"/>
    <w:rsid w:val="007B4FB2"/>
    <w:rsid w:val="007B7EC6"/>
    <w:rsid w:val="007C1A42"/>
    <w:rsid w:val="007C3FAE"/>
    <w:rsid w:val="007D09C1"/>
    <w:rsid w:val="007D190D"/>
    <w:rsid w:val="007D2ABE"/>
    <w:rsid w:val="007D3CE8"/>
    <w:rsid w:val="007D55F2"/>
    <w:rsid w:val="007D5D41"/>
    <w:rsid w:val="007D6CF0"/>
    <w:rsid w:val="007E4E9D"/>
    <w:rsid w:val="007E5D9A"/>
    <w:rsid w:val="007E6AE6"/>
    <w:rsid w:val="007F1192"/>
    <w:rsid w:val="007F2827"/>
    <w:rsid w:val="00800AAC"/>
    <w:rsid w:val="00801F71"/>
    <w:rsid w:val="008023A7"/>
    <w:rsid w:val="00806C17"/>
    <w:rsid w:val="00812F34"/>
    <w:rsid w:val="00813E47"/>
    <w:rsid w:val="008142AA"/>
    <w:rsid w:val="0081641D"/>
    <w:rsid w:val="00816A02"/>
    <w:rsid w:val="00816A76"/>
    <w:rsid w:val="008227A1"/>
    <w:rsid w:val="00825091"/>
    <w:rsid w:val="00830783"/>
    <w:rsid w:val="00830AB4"/>
    <w:rsid w:val="00833BB1"/>
    <w:rsid w:val="00835C3C"/>
    <w:rsid w:val="00846034"/>
    <w:rsid w:val="00847DA9"/>
    <w:rsid w:val="00854E76"/>
    <w:rsid w:val="00855EA5"/>
    <w:rsid w:val="00856DE9"/>
    <w:rsid w:val="008605D7"/>
    <w:rsid w:val="008610C9"/>
    <w:rsid w:val="00870742"/>
    <w:rsid w:val="008720FE"/>
    <w:rsid w:val="008726CE"/>
    <w:rsid w:val="00884BC1"/>
    <w:rsid w:val="0089313E"/>
    <w:rsid w:val="008939A0"/>
    <w:rsid w:val="008A14DD"/>
    <w:rsid w:val="008A2048"/>
    <w:rsid w:val="008A60B6"/>
    <w:rsid w:val="008A7753"/>
    <w:rsid w:val="008B03EA"/>
    <w:rsid w:val="008B0D6A"/>
    <w:rsid w:val="008B1686"/>
    <w:rsid w:val="008B3E3C"/>
    <w:rsid w:val="008B7C41"/>
    <w:rsid w:val="008C1397"/>
    <w:rsid w:val="008C14EB"/>
    <w:rsid w:val="008C2D77"/>
    <w:rsid w:val="008D097E"/>
    <w:rsid w:val="008D1412"/>
    <w:rsid w:val="008D6157"/>
    <w:rsid w:val="008E0FF0"/>
    <w:rsid w:val="008E4F46"/>
    <w:rsid w:val="008E7DFC"/>
    <w:rsid w:val="008F1F37"/>
    <w:rsid w:val="008F22E1"/>
    <w:rsid w:val="008F497E"/>
    <w:rsid w:val="008F4E5E"/>
    <w:rsid w:val="008F52D4"/>
    <w:rsid w:val="00900D97"/>
    <w:rsid w:val="009015CD"/>
    <w:rsid w:val="00905064"/>
    <w:rsid w:val="00907ABF"/>
    <w:rsid w:val="00913F7A"/>
    <w:rsid w:val="0091607E"/>
    <w:rsid w:val="00934146"/>
    <w:rsid w:val="00934823"/>
    <w:rsid w:val="009368C2"/>
    <w:rsid w:val="009379EF"/>
    <w:rsid w:val="0094619B"/>
    <w:rsid w:val="00950355"/>
    <w:rsid w:val="00950F35"/>
    <w:rsid w:val="009540B4"/>
    <w:rsid w:val="0095703F"/>
    <w:rsid w:val="009570C9"/>
    <w:rsid w:val="009617D3"/>
    <w:rsid w:val="00971AE9"/>
    <w:rsid w:val="00972D16"/>
    <w:rsid w:val="0097332C"/>
    <w:rsid w:val="00974358"/>
    <w:rsid w:val="00975FE7"/>
    <w:rsid w:val="0097608B"/>
    <w:rsid w:val="0099548E"/>
    <w:rsid w:val="009A2855"/>
    <w:rsid w:val="009A5F73"/>
    <w:rsid w:val="009A7239"/>
    <w:rsid w:val="009A7E5F"/>
    <w:rsid w:val="009B20D0"/>
    <w:rsid w:val="009B75BF"/>
    <w:rsid w:val="009C19DC"/>
    <w:rsid w:val="009D5186"/>
    <w:rsid w:val="009D5259"/>
    <w:rsid w:val="009E6EFE"/>
    <w:rsid w:val="009F1864"/>
    <w:rsid w:val="00A00A07"/>
    <w:rsid w:val="00A011DF"/>
    <w:rsid w:val="00A0124B"/>
    <w:rsid w:val="00A03236"/>
    <w:rsid w:val="00A04162"/>
    <w:rsid w:val="00A0469F"/>
    <w:rsid w:val="00A06CFD"/>
    <w:rsid w:val="00A114DF"/>
    <w:rsid w:val="00A145E4"/>
    <w:rsid w:val="00A15E71"/>
    <w:rsid w:val="00A179ED"/>
    <w:rsid w:val="00A21E38"/>
    <w:rsid w:val="00A23477"/>
    <w:rsid w:val="00A238B1"/>
    <w:rsid w:val="00A32424"/>
    <w:rsid w:val="00A337DC"/>
    <w:rsid w:val="00A3657F"/>
    <w:rsid w:val="00A43661"/>
    <w:rsid w:val="00A43959"/>
    <w:rsid w:val="00A44936"/>
    <w:rsid w:val="00A45328"/>
    <w:rsid w:val="00A45DDD"/>
    <w:rsid w:val="00A5295E"/>
    <w:rsid w:val="00A5508A"/>
    <w:rsid w:val="00A56705"/>
    <w:rsid w:val="00A60D78"/>
    <w:rsid w:val="00A611FB"/>
    <w:rsid w:val="00A62CEB"/>
    <w:rsid w:val="00A630FB"/>
    <w:rsid w:val="00A64E77"/>
    <w:rsid w:val="00A7026A"/>
    <w:rsid w:val="00A76408"/>
    <w:rsid w:val="00A82217"/>
    <w:rsid w:val="00A85332"/>
    <w:rsid w:val="00A87E5B"/>
    <w:rsid w:val="00A948E7"/>
    <w:rsid w:val="00AA1658"/>
    <w:rsid w:val="00AA2110"/>
    <w:rsid w:val="00AA4699"/>
    <w:rsid w:val="00AA4D70"/>
    <w:rsid w:val="00AA724F"/>
    <w:rsid w:val="00AB0CF8"/>
    <w:rsid w:val="00AB5028"/>
    <w:rsid w:val="00AC7AE8"/>
    <w:rsid w:val="00AD522E"/>
    <w:rsid w:val="00AE23B5"/>
    <w:rsid w:val="00AF789F"/>
    <w:rsid w:val="00AF7AFD"/>
    <w:rsid w:val="00B01C0C"/>
    <w:rsid w:val="00B0219D"/>
    <w:rsid w:val="00B03522"/>
    <w:rsid w:val="00B052A1"/>
    <w:rsid w:val="00B0598D"/>
    <w:rsid w:val="00B068EC"/>
    <w:rsid w:val="00B069EE"/>
    <w:rsid w:val="00B14556"/>
    <w:rsid w:val="00B21037"/>
    <w:rsid w:val="00B22B23"/>
    <w:rsid w:val="00B25914"/>
    <w:rsid w:val="00B27E6B"/>
    <w:rsid w:val="00B3002B"/>
    <w:rsid w:val="00B31930"/>
    <w:rsid w:val="00B333CB"/>
    <w:rsid w:val="00B338C4"/>
    <w:rsid w:val="00B3616A"/>
    <w:rsid w:val="00B371EB"/>
    <w:rsid w:val="00B4315F"/>
    <w:rsid w:val="00B464B9"/>
    <w:rsid w:val="00B472E3"/>
    <w:rsid w:val="00B528DC"/>
    <w:rsid w:val="00B53C24"/>
    <w:rsid w:val="00B545AA"/>
    <w:rsid w:val="00B56FE1"/>
    <w:rsid w:val="00B57EF9"/>
    <w:rsid w:val="00B61735"/>
    <w:rsid w:val="00B630B0"/>
    <w:rsid w:val="00B65627"/>
    <w:rsid w:val="00B77BC2"/>
    <w:rsid w:val="00B819DD"/>
    <w:rsid w:val="00B83802"/>
    <w:rsid w:val="00B841B7"/>
    <w:rsid w:val="00B853A4"/>
    <w:rsid w:val="00B915E2"/>
    <w:rsid w:val="00B9541A"/>
    <w:rsid w:val="00B957C9"/>
    <w:rsid w:val="00B96880"/>
    <w:rsid w:val="00BA4267"/>
    <w:rsid w:val="00BA46A4"/>
    <w:rsid w:val="00BA5B73"/>
    <w:rsid w:val="00BA6476"/>
    <w:rsid w:val="00BB013E"/>
    <w:rsid w:val="00BB0B34"/>
    <w:rsid w:val="00BB23E4"/>
    <w:rsid w:val="00BD0A8D"/>
    <w:rsid w:val="00BD35D3"/>
    <w:rsid w:val="00BD514E"/>
    <w:rsid w:val="00BD555F"/>
    <w:rsid w:val="00BD7235"/>
    <w:rsid w:val="00BE3A33"/>
    <w:rsid w:val="00BF5119"/>
    <w:rsid w:val="00BF5331"/>
    <w:rsid w:val="00C01829"/>
    <w:rsid w:val="00C04EAB"/>
    <w:rsid w:val="00C079E9"/>
    <w:rsid w:val="00C115F5"/>
    <w:rsid w:val="00C12CF9"/>
    <w:rsid w:val="00C160E6"/>
    <w:rsid w:val="00C1634E"/>
    <w:rsid w:val="00C2038E"/>
    <w:rsid w:val="00C22877"/>
    <w:rsid w:val="00C276AC"/>
    <w:rsid w:val="00C41085"/>
    <w:rsid w:val="00C447C0"/>
    <w:rsid w:val="00C44CAE"/>
    <w:rsid w:val="00C44D7F"/>
    <w:rsid w:val="00C45764"/>
    <w:rsid w:val="00C46862"/>
    <w:rsid w:val="00C469DA"/>
    <w:rsid w:val="00C47414"/>
    <w:rsid w:val="00C507AC"/>
    <w:rsid w:val="00C56239"/>
    <w:rsid w:val="00C6198B"/>
    <w:rsid w:val="00C626D5"/>
    <w:rsid w:val="00C71D24"/>
    <w:rsid w:val="00C758DD"/>
    <w:rsid w:val="00C76ABA"/>
    <w:rsid w:val="00C80AD3"/>
    <w:rsid w:val="00C833F2"/>
    <w:rsid w:val="00C87122"/>
    <w:rsid w:val="00C87CB2"/>
    <w:rsid w:val="00C965C4"/>
    <w:rsid w:val="00C96BE6"/>
    <w:rsid w:val="00CA0D8C"/>
    <w:rsid w:val="00CA3A39"/>
    <w:rsid w:val="00CA5DD2"/>
    <w:rsid w:val="00CA74D3"/>
    <w:rsid w:val="00CB02CF"/>
    <w:rsid w:val="00CB593A"/>
    <w:rsid w:val="00CC322F"/>
    <w:rsid w:val="00CD667C"/>
    <w:rsid w:val="00CE0D83"/>
    <w:rsid w:val="00CE417F"/>
    <w:rsid w:val="00CE658D"/>
    <w:rsid w:val="00CE6ACE"/>
    <w:rsid w:val="00CF7271"/>
    <w:rsid w:val="00D00881"/>
    <w:rsid w:val="00D01147"/>
    <w:rsid w:val="00D04D69"/>
    <w:rsid w:val="00D05ED4"/>
    <w:rsid w:val="00D12324"/>
    <w:rsid w:val="00D1334C"/>
    <w:rsid w:val="00D160AA"/>
    <w:rsid w:val="00D23A09"/>
    <w:rsid w:val="00D27763"/>
    <w:rsid w:val="00D27CCE"/>
    <w:rsid w:val="00D3032B"/>
    <w:rsid w:val="00D305DC"/>
    <w:rsid w:val="00D307CA"/>
    <w:rsid w:val="00D36D1C"/>
    <w:rsid w:val="00D36E1B"/>
    <w:rsid w:val="00D37231"/>
    <w:rsid w:val="00D44123"/>
    <w:rsid w:val="00D56ADF"/>
    <w:rsid w:val="00D65949"/>
    <w:rsid w:val="00D746F2"/>
    <w:rsid w:val="00D755A6"/>
    <w:rsid w:val="00D766CA"/>
    <w:rsid w:val="00D87A0A"/>
    <w:rsid w:val="00D9147D"/>
    <w:rsid w:val="00D91A8D"/>
    <w:rsid w:val="00D926F7"/>
    <w:rsid w:val="00D97DC0"/>
    <w:rsid w:val="00DA1654"/>
    <w:rsid w:val="00DA1AD3"/>
    <w:rsid w:val="00DA1B33"/>
    <w:rsid w:val="00DB20D0"/>
    <w:rsid w:val="00DB3547"/>
    <w:rsid w:val="00DB4116"/>
    <w:rsid w:val="00DB4300"/>
    <w:rsid w:val="00DC27F6"/>
    <w:rsid w:val="00DC4E64"/>
    <w:rsid w:val="00DC5579"/>
    <w:rsid w:val="00DC6620"/>
    <w:rsid w:val="00DC66F3"/>
    <w:rsid w:val="00DC7340"/>
    <w:rsid w:val="00DC771C"/>
    <w:rsid w:val="00DD00A9"/>
    <w:rsid w:val="00DD0610"/>
    <w:rsid w:val="00DD5611"/>
    <w:rsid w:val="00DD5C8B"/>
    <w:rsid w:val="00DD61CF"/>
    <w:rsid w:val="00DE225D"/>
    <w:rsid w:val="00DE23DC"/>
    <w:rsid w:val="00DE31D2"/>
    <w:rsid w:val="00DE3568"/>
    <w:rsid w:val="00DE67EF"/>
    <w:rsid w:val="00DE7DB3"/>
    <w:rsid w:val="00E0248A"/>
    <w:rsid w:val="00E0401F"/>
    <w:rsid w:val="00E06CE2"/>
    <w:rsid w:val="00E07C95"/>
    <w:rsid w:val="00E11F67"/>
    <w:rsid w:val="00E162AD"/>
    <w:rsid w:val="00E17A67"/>
    <w:rsid w:val="00E2037B"/>
    <w:rsid w:val="00E22789"/>
    <w:rsid w:val="00E33A0A"/>
    <w:rsid w:val="00E40AF7"/>
    <w:rsid w:val="00E41957"/>
    <w:rsid w:val="00E41C40"/>
    <w:rsid w:val="00E41FB7"/>
    <w:rsid w:val="00E432FE"/>
    <w:rsid w:val="00E43B63"/>
    <w:rsid w:val="00E4610A"/>
    <w:rsid w:val="00E50268"/>
    <w:rsid w:val="00E510FF"/>
    <w:rsid w:val="00E54622"/>
    <w:rsid w:val="00E654B2"/>
    <w:rsid w:val="00E65E97"/>
    <w:rsid w:val="00E70069"/>
    <w:rsid w:val="00E7076E"/>
    <w:rsid w:val="00E71AF9"/>
    <w:rsid w:val="00E72733"/>
    <w:rsid w:val="00E729B0"/>
    <w:rsid w:val="00E73582"/>
    <w:rsid w:val="00E80272"/>
    <w:rsid w:val="00E808BF"/>
    <w:rsid w:val="00E82A4D"/>
    <w:rsid w:val="00E8773A"/>
    <w:rsid w:val="00EA5C9E"/>
    <w:rsid w:val="00EA70EF"/>
    <w:rsid w:val="00EA735E"/>
    <w:rsid w:val="00EB07A2"/>
    <w:rsid w:val="00EB1155"/>
    <w:rsid w:val="00EC0A77"/>
    <w:rsid w:val="00EC2744"/>
    <w:rsid w:val="00EC29FA"/>
    <w:rsid w:val="00EC7F5A"/>
    <w:rsid w:val="00ED28F7"/>
    <w:rsid w:val="00ED4236"/>
    <w:rsid w:val="00ED5E42"/>
    <w:rsid w:val="00ED731E"/>
    <w:rsid w:val="00ED7B47"/>
    <w:rsid w:val="00EE093E"/>
    <w:rsid w:val="00EE0EEC"/>
    <w:rsid w:val="00EE117B"/>
    <w:rsid w:val="00EE460B"/>
    <w:rsid w:val="00EF0377"/>
    <w:rsid w:val="00EF40C5"/>
    <w:rsid w:val="00F10B59"/>
    <w:rsid w:val="00F11632"/>
    <w:rsid w:val="00F20AB1"/>
    <w:rsid w:val="00F24526"/>
    <w:rsid w:val="00F27B28"/>
    <w:rsid w:val="00F30E1E"/>
    <w:rsid w:val="00F3718F"/>
    <w:rsid w:val="00F43E39"/>
    <w:rsid w:val="00F45163"/>
    <w:rsid w:val="00F47A6A"/>
    <w:rsid w:val="00F52D2C"/>
    <w:rsid w:val="00F543DB"/>
    <w:rsid w:val="00F55361"/>
    <w:rsid w:val="00F55FE2"/>
    <w:rsid w:val="00F61B5E"/>
    <w:rsid w:val="00F62744"/>
    <w:rsid w:val="00F6592F"/>
    <w:rsid w:val="00F671BD"/>
    <w:rsid w:val="00F6746A"/>
    <w:rsid w:val="00F700BF"/>
    <w:rsid w:val="00F71FA1"/>
    <w:rsid w:val="00F72E5E"/>
    <w:rsid w:val="00F73012"/>
    <w:rsid w:val="00F73964"/>
    <w:rsid w:val="00F75A83"/>
    <w:rsid w:val="00F771D4"/>
    <w:rsid w:val="00F819CB"/>
    <w:rsid w:val="00F81B0D"/>
    <w:rsid w:val="00F82A39"/>
    <w:rsid w:val="00F9034C"/>
    <w:rsid w:val="00F91A40"/>
    <w:rsid w:val="00F95CDD"/>
    <w:rsid w:val="00FA6244"/>
    <w:rsid w:val="00FA7621"/>
    <w:rsid w:val="00FB0097"/>
    <w:rsid w:val="00FB580F"/>
    <w:rsid w:val="00FB6F81"/>
    <w:rsid w:val="00FB6FA9"/>
    <w:rsid w:val="00FC3268"/>
    <w:rsid w:val="00FD06E5"/>
    <w:rsid w:val="00FD2216"/>
    <w:rsid w:val="00FD27CD"/>
    <w:rsid w:val="00FD4729"/>
    <w:rsid w:val="00FD4948"/>
    <w:rsid w:val="00FD75E5"/>
    <w:rsid w:val="00FE03E8"/>
    <w:rsid w:val="00FE1EC7"/>
    <w:rsid w:val="00FE2E9E"/>
    <w:rsid w:val="00FE5860"/>
    <w:rsid w:val="00FF0524"/>
    <w:rsid w:val="00FF18C4"/>
    <w:rsid w:val="00FF4597"/>
    <w:rsid w:val="00FF4A53"/>
    <w:rsid w:val="00FF6658"/>
    <w:rsid w:val="00FF7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2CD8D81"/>
  <w15:chartTrackingRefBased/>
  <w15:docId w15:val="{BC8AE7A0-F7BD-46FE-907C-D9FF305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3F62"/>
    <w:pPr>
      <w:keepNext/>
      <w:keepLines/>
      <w:spacing w:before="240" w:after="0"/>
      <w:outlineLvl w:val="0"/>
    </w:pPr>
    <w:rPr>
      <w:rFonts w:ascii="Calibri" w:eastAsiaTheme="majorEastAsia" w:hAnsi="Calibri" w:cstheme="majorBidi"/>
      <w:color w:val="035476"/>
      <w:sz w:val="32"/>
      <w:szCs w:val="32"/>
    </w:rPr>
  </w:style>
  <w:style w:type="paragraph" w:styleId="Heading2">
    <w:name w:val="heading 2"/>
    <w:basedOn w:val="Normal"/>
    <w:next w:val="Normal"/>
    <w:link w:val="Heading2Char"/>
    <w:uiPriority w:val="9"/>
    <w:unhideWhenUsed/>
    <w:qFormat/>
    <w:rsid w:val="00673F62"/>
    <w:pPr>
      <w:keepNext/>
      <w:keepLines/>
      <w:spacing w:before="40" w:after="0"/>
      <w:outlineLvl w:val="1"/>
    </w:pPr>
    <w:rPr>
      <w:rFonts w:ascii="Calibri" w:eastAsiaTheme="majorEastAsia" w:hAnsi="Calibri" w:cstheme="majorBidi"/>
      <w:color w:val="00A2BA"/>
      <w:sz w:val="26"/>
      <w:szCs w:val="26"/>
    </w:rPr>
  </w:style>
  <w:style w:type="paragraph" w:styleId="Heading3">
    <w:name w:val="heading 3"/>
    <w:basedOn w:val="Normal"/>
    <w:next w:val="Normal"/>
    <w:link w:val="Heading3Char"/>
    <w:uiPriority w:val="9"/>
    <w:unhideWhenUsed/>
    <w:qFormat/>
    <w:rsid w:val="00673F62"/>
    <w:pPr>
      <w:keepNext/>
      <w:keepLines/>
      <w:spacing w:before="40" w:after="0"/>
      <w:outlineLvl w:val="2"/>
    </w:pPr>
    <w:rPr>
      <w:rFonts w:ascii="Calibri" w:eastAsiaTheme="majorEastAsia" w:hAnsi="Calibri" w:cstheme="majorBidi"/>
      <w:color w:val="0088C2"/>
      <w:sz w:val="24"/>
      <w:szCs w:val="24"/>
    </w:rPr>
  </w:style>
  <w:style w:type="paragraph" w:styleId="Heading4">
    <w:name w:val="heading 4"/>
    <w:basedOn w:val="Normal"/>
    <w:next w:val="Normal"/>
    <w:link w:val="Heading4Char"/>
    <w:uiPriority w:val="9"/>
    <w:unhideWhenUsed/>
    <w:qFormat/>
    <w:rsid w:val="003678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073"/>
  </w:style>
  <w:style w:type="paragraph" w:styleId="Footer">
    <w:name w:val="footer"/>
    <w:basedOn w:val="Normal"/>
    <w:link w:val="FooterChar"/>
    <w:uiPriority w:val="99"/>
    <w:unhideWhenUsed/>
    <w:qFormat/>
    <w:rsid w:val="007B4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073"/>
  </w:style>
  <w:style w:type="character" w:customStyle="1" w:styleId="Heading1Char">
    <w:name w:val="Heading 1 Char"/>
    <w:basedOn w:val="DefaultParagraphFont"/>
    <w:link w:val="Heading1"/>
    <w:uiPriority w:val="9"/>
    <w:rsid w:val="00673F62"/>
    <w:rPr>
      <w:rFonts w:ascii="Calibri" w:eastAsiaTheme="majorEastAsia" w:hAnsi="Calibri" w:cstheme="majorBidi"/>
      <w:color w:val="035476"/>
      <w:sz w:val="32"/>
      <w:szCs w:val="32"/>
    </w:rPr>
  </w:style>
  <w:style w:type="character" w:customStyle="1" w:styleId="Heading2Char">
    <w:name w:val="Heading 2 Char"/>
    <w:basedOn w:val="DefaultParagraphFont"/>
    <w:link w:val="Heading2"/>
    <w:uiPriority w:val="9"/>
    <w:rsid w:val="00673F62"/>
    <w:rPr>
      <w:rFonts w:ascii="Calibri" w:eastAsiaTheme="majorEastAsia" w:hAnsi="Calibri" w:cstheme="majorBidi"/>
      <w:color w:val="00A2BA"/>
      <w:sz w:val="26"/>
      <w:szCs w:val="26"/>
    </w:rPr>
  </w:style>
  <w:style w:type="character" w:customStyle="1" w:styleId="Heading3Char">
    <w:name w:val="Heading 3 Char"/>
    <w:basedOn w:val="DefaultParagraphFont"/>
    <w:link w:val="Heading3"/>
    <w:uiPriority w:val="9"/>
    <w:rsid w:val="00673F62"/>
    <w:rPr>
      <w:rFonts w:ascii="Calibri" w:eastAsiaTheme="majorEastAsia" w:hAnsi="Calibri" w:cstheme="majorBidi"/>
      <w:color w:val="0088C2"/>
      <w:sz w:val="24"/>
      <w:szCs w:val="24"/>
    </w:rPr>
  </w:style>
  <w:style w:type="paragraph" w:styleId="ListParagraph">
    <w:name w:val="List Paragraph"/>
    <w:basedOn w:val="Normal"/>
    <w:uiPriority w:val="34"/>
    <w:qFormat/>
    <w:rsid w:val="00BD514E"/>
    <w:pPr>
      <w:ind w:left="720"/>
      <w:contextualSpacing/>
    </w:pPr>
  </w:style>
  <w:style w:type="paragraph" w:styleId="Revision">
    <w:name w:val="Revision"/>
    <w:hidden/>
    <w:uiPriority w:val="99"/>
    <w:semiHidden/>
    <w:rsid w:val="00C87CB2"/>
    <w:pPr>
      <w:spacing w:after="0" w:line="240" w:lineRule="auto"/>
    </w:pPr>
  </w:style>
  <w:style w:type="paragraph" w:customStyle="1" w:styleId="paragraph">
    <w:name w:val="paragraph"/>
    <w:basedOn w:val="Normal"/>
    <w:rsid w:val="000877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87774"/>
  </w:style>
  <w:style w:type="character" w:customStyle="1" w:styleId="eop">
    <w:name w:val="eop"/>
    <w:basedOn w:val="DefaultParagraphFont"/>
    <w:rsid w:val="00087774"/>
  </w:style>
  <w:style w:type="paragraph" w:styleId="FootnoteText">
    <w:name w:val="footnote text"/>
    <w:basedOn w:val="Normal"/>
    <w:link w:val="FootnoteTextChar"/>
    <w:uiPriority w:val="99"/>
    <w:semiHidden/>
    <w:unhideWhenUsed/>
    <w:rsid w:val="00D914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47D"/>
    <w:rPr>
      <w:sz w:val="20"/>
      <w:szCs w:val="20"/>
    </w:rPr>
  </w:style>
  <w:style w:type="character" w:styleId="FootnoteReference">
    <w:name w:val="footnote reference"/>
    <w:basedOn w:val="DefaultParagraphFont"/>
    <w:uiPriority w:val="99"/>
    <w:semiHidden/>
    <w:unhideWhenUsed/>
    <w:rsid w:val="00D9147D"/>
    <w:rPr>
      <w:vertAlign w:val="superscript"/>
    </w:rPr>
  </w:style>
  <w:style w:type="character" w:styleId="Hyperlink">
    <w:name w:val="Hyperlink"/>
    <w:basedOn w:val="DefaultParagraphFont"/>
    <w:uiPriority w:val="99"/>
    <w:unhideWhenUsed/>
    <w:rsid w:val="00D9147D"/>
    <w:rPr>
      <w:color w:val="0000FF"/>
      <w:u w:val="single"/>
    </w:rPr>
  </w:style>
  <w:style w:type="character" w:styleId="CommentReference">
    <w:name w:val="annotation reference"/>
    <w:basedOn w:val="DefaultParagraphFont"/>
    <w:uiPriority w:val="99"/>
    <w:semiHidden/>
    <w:unhideWhenUsed/>
    <w:rsid w:val="00526047"/>
    <w:rPr>
      <w:sz w:val="16"/>
      <w:szCs w:val="16"/>
    </w:rPr>
  </w:style>
  <w:style w:type="character" w:customStyle="1" w:styleId="Heading4Char">
    <w:name w:val="Heading 4 Char"/>
    <w:basedOn w:val="DefaultParagraphFont"/>
    <w:link w:val="Heading4"/>
    <w:uiPriority w:val="9"/>
    <w:rsid w:val="00367868"/>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8C1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3E5A"/>
    <w:rPr>
      <w:color w:val="954F72" w:themeColor="followedHyperlink"/>
      <w:u w:val="single"/>
    </w:rPr>
  </w:style>
  <w:style w:type="paragraph" w:styleId="CommentText">
    <w:name w:val="annotation text"/>
    <w:basedOn w:val="Normal"/>
    <w:link w:val="CommentTextChar"/>
    <w:uiPriority w:val="99"/>
    <w:unhideWhenUsed/>
    <w:rsid w:val="00123E5A"/>
    <w:pPr>
      <w:spacing w:line="240" w:lineRule="auto"/>
    </w:pPr>
    <w:rPr>
      <w:sz w:val="20"/>
      <w:szCs w:val="20"/>
    </w:rPr>
  </w:style>
  <w:style w:type="character" w:customStyle="1" w:styleId="CommentTextChar">
    <w:name w:val="Comment Text Char"/>
    <w:basedOn w:val="DefaultParagraphFont"/>
    <w:link w:val="CommentText"/>
    <w:uiPriority w:val="99"/>
    <w:rsid w:val="00123E5A"/>
    <w:rPr>
      <w:sz w:val="20"/>
      <w:szCs w:val="20"/>
    </w:rPr>
  </w:style>
  <w:style w:type="paragraph" w:styleId="CommentSubject">
    <w:name w:val="annotation subject"/>
    <w:basedOn w:val="CommentText"/>
    <w:next w:val="CommentText"/>
    <w:link w:val="CommentSubjectChar"/>
    <w:uiPriority w:val="99"/>
    <w:semiHidden/>
    <w:unhideWhenUsed/>
    <w:rsid w:val="00123E5A"/>
    <w:rPr>
      <w:b/>
      <w:bCs/>
    </w:rPr>
  </w:style>
  <w:style w:type="character" w:customStyle="1" w:styleId="CommentSubjectChar">
    <w:name w:val="Comment Subject Char"/>
    <w:basedOn w:val="CommentTextChar"/>
    <w:link w:val="CommentSubject"/>
    <w:uiPriority w:val="99"/>
    <w:semiHidden/>
    <w:rsid w:val="00123E5A"/>
    <w:rPr>
      <w:b/>
      <w:bCs/>
      <w:sz w:val="20"/>
      <w:szCs w:val="20"/>
    </w:rPr>
  </w:style>
  <w:style w:type="character" w:styleId="UnresolvedMention">
    <w:name w:val="Unresolved Mention"/>
    <w:basedOn w:val="DefaultParagraphFont"/>
    <w:uiPriority w:val="99"/>
    <w:semiHidden/>
    <w:unhideWhenUsed/>
    <w:rsid w:val="0049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770654">
      <w:bodyDiv w:val="1"/>
      <w:marLeft w:val="0"/>
      <w:marRight w:val="0"/>
      <w:marTop w:val="0"/>
      <w:marBottom w:val="0"/>
      <w:divBdr>
        <w:top w:val="none" w:sz="0" w:space="0" w:color="auto"/>
        <w:left w:val="none" w:sz="0" w:space="0" w:color="auto"/>
        <w:bottom w:val="none" w:sz="0" w:space="0" w:color="auto"/>
        <w:right w:val="none" w:sz="0" w:space="0" w:color="auto"/>
      </w:divBdr>
    </w:div>
    <w:div w:id="1145705503">
      <w:bodyDiv w:val="1"/>
      <w:marLeft w:val="0"/>
      <w:marRight w:val="0"/>
      <w:marTop w:val="0"/>
      <w:marBottom w:val="0"/>
      <w:divBdr>
        <w:top w:val="none" w:sz="0" w:space="0" w:color="auto"/>
        <w:left w:val="none" w:sz="0" w:space="0" w:color="auto"/>
        <w:bottom w:val="none" w:sz="0" w:space="0" w:color="auto"/>
        <w:right w:val="none" w:sz="0" w:space="0" w:color="auto"/>
      </w:divBdr>
      <w:divsChild>
        <w:div w:id="1964967822">
          <w:marLeft w:val="0"/>
          <w:marRight w:val="0"/>
          <w:marTop w:val="0"/>
          <w:marBottom w:val="0"/>
          <w:divBdr>
            <w:top w:val="none" w:sz="0" w:space="0" w:color="auto"/>
            <w:left w:val="none" w:sz="0" w:space="0" w:color="auto"/>
            <w:bottom w:val="none" w:sz="0" w:space="0" w:color="auto"/>
            <w:right w:val="none" w:sz="0" w:space="0" w:color="auto"/>
          </w:divBdr>
        </w:div>
        <w:div w:id="1722750355">
          <w:marLeft w:val="0"/>
          <w:marRight w:val="0"/>
          <w:marTop w:val="0"/>
          <w:marBottom w:val="0"/>
          <w:divBdr>
            <w:top w:val="none" w:sz="0" w:space="0" w:color="auto"/>
            <w:left w:val="none" w:sz="0" w:space="0" w:color="auto"/>
            <w:bottom w:val="none" w:sz="0" w:space="0" w:color="auto"/>
            <w:right w:val="none" w:sz="0" w:space="0" w:color="auto"/>
          </w:divBdr>
        </w:div>
        <w:div w:id="708381905">
          <w:marLeft w:val="0"/>
          <w:marRight w:val="0"/>
          <w:marTop w:val="0"/>
          <w:marBottom w:val="0"/>
          <w:divBdr>
            <w:top w:val="none" w:sz="0" w:space="0" w:color="auto"/>
            <w:left w:val="none" w:sz="0" w:space="0" w:color="auto"/>
            <w:bottom w:val="none" w:sz="0" w:space="0" w:color="auto"/>
            <w:right w:val="none" w:sz="0" w:space="0" w:color="auto"/>
          </w:divBdr>
        </w:div>
        <w:div w:id="998653542">
          <w:marLeft w:val="0"/>
          <w:marRight w:val="0"/>
          <w:marTop w:val="0"/>
          <w:marBottom w:val="0"/>
          <w:divBdr>
            <w:top w:val="none" w:sz="0" w:space="0" w:color="auto"/>
            <w:left w:val="none" w:sz="0" w:space="0" w:color="auto"/>
            <w:bottom w:val="none" w:sz="0" w:space="0" w:color="auto"/>
            <w:right w:val="none" w:sz="0" w:space="0" w:color="auto"/>
          </w:divBdr>
        </w:div>
        <w:div w:id="1629508490">
          <w:marLeft w:val="0"/>
          <w:marRight w:val="0"/>
          <w:marTop w:val="0"/>
          <w:marBottom w:val="0"/>
          <w:divBdr>
            <w:top w:val="none" w:sz="0" w:space="0" w:color="auto"/>
            <w:left w:val="none" w:sz="0" w:space="0" w:color="auto"/>
            <w:bottom w:val="none" w:sz="0" w:space="0" w:color="auto"/>
            <w:right w:val="none" w:sz="0" w:space="0" w:color="auto"/>
          </w:divBdr>
        </w:div>
        <w:div w:id="70975981">
          <w:marLeft w:val="0"/>
          <w:marRight w:val="0"/>
          <w:marTop w:val="0"/>
          <w:marBottom w:val="0"/>
          <w:divBdr>
            <w:top w:val="none" w:sz="0" w:space="0" w:color="auto"/>
            <w:left w:val="none" w:sz="0" w:space="0" w:color="auto"/>
            <w:bottom w:val="none" w:sz="0" w:space="0" w:color="auto"/>
            <w:right w:val="none" w:sz="0" w:space="0" w:color="auto"/>
          </w:divBdr>
        </w:div>
        <w:div w:id="1645426174">
          <w:marLeft w:val="0"/>
          <w:marRight w:val="0"/>
          <w:marTop w:val="0"/>
          <w:marBottom w:val="0"/>
          <w:divBdr>
            <w:top w:val="none" w:sz="0" w:space="0" w:color="auto"/>
            <w:left w:val="none" w:sz="0" w:space="0" w:color="auto"/>
            <w:bottom w:val="none" w:sz="0" w:space="0" w:color="auto"/>
            <w:right w:val="none" w:sz="0" w:space="0" w:color="auto"/>
          </w:divBdr>
        </w:div>
        <w:div w:id="2029796320">
          <w:marLeft w:val="0"/>
          <w:marRight w:val="0"/>
          <w:marTop w:val="0"/>
          <w:marBottom w:val="0"/>
          <w:divBdr>
            <w:top w:val="none" w:sz="0" w:space="0" w:color="auto"/>
            <w:left w:val="none" w:sz="0" w:space="0" w:color="auto"/>
            <w:bottom w:val="none" w:sz="0" w:space="0" w:color="auto"/>
            <w:right w:val="none" w:sz="0" w:space="0" w:color="auto"/>
          </w:divBdr>
        </w:div>
        <w:div w:id="730537062">
          <w:marLeft w:val="0"/>
          <w:marRight w:val="0"/>
          <w:marTop w:val="0"/>
          <w:marBottom w:val="0"/>
          <w:divBdr>
            <w:top w:val="none" w:sz="0" w:space="0" w:color="auto"/>
            <w:left w:val="none" w:sz="0" w:space="0" w:color="auto"/>
            <w:bottom w:val="none" w:sz="0" w:space="0" w:color="auto"/>
            <w:right w:val="none" w:sz="0" w:space="0" w:color="auto"/>
          </w:divBdr>
        </w:div>
        <w:div w:id="291442721">
          <w:marLeft w:val="0"/>
          <w:marRight w:val="0"/>
          <w:marTop w:val="0"/>
          <w:marBottom w:val="0"/>
          <w:divBdr>
            <w:top w:val="none" w:sz="0" w:space="0" w:color="auto"/>
            <w:left w:val="none" w:sz="0" w:space="0" w:color="auto"/>
            <w:bottom w:val="none" w:sz="0" w:space="0" w:color="auto"/>
            <w:right w:val="none" w:sz="0" w:space="0" w:color="auto"/>
          </w:divBdr>
        </w:div>
        <w:div w:id="1091271893">
          <w:marLeft w:val="0"/>
          <w:marRight w:val="0"/>
          <w:marTop w:val="0"/>
          <w:marBottom w:val="0"/>
          <w:divBdr>
            <w:top w:val="none" w:sz="0" w:space="0" w:color="auto"/>
            <w:left w:val="none" w:sz="0" w:space="0" w:color="auto"/>
            <w:bottom w:val="none" w:sz="0" w:space="0" w:color="auto"/>
            <w:right w:val="none" w:sz="0" w:space="0" w:color="auto"/>
          </w:divBdr>
          <w:divsChild>
            <w:div w:id="1638073083">
              <w:marLeft w:val="0"/>
              <w:marRight w:val="0"/>
              <w:marTop w:val="0"/>
              <w:marBottom w:val="0"/>
              <w:divBdr>
                <w:top w:val="none" w:sz="0" w:space="0" w:color="auto"/>
                <w:left w:val="none" w:sz="0" w:space="0" w:color="auto"/>
                <w:bottom w:val="none" w:sz="0" w:space="0" w:color="auto"/>
                <w:right w:val="none" w:sz="0" w:space="0" w:color="auto"/>
              </w:divBdr>
            </w:div>
            <w:div w:id="512037047">
              <w:marLeft w:val="0"/>
              <w:marRight w:val="0"/>
              <w:marTop w:val="0"/>
              <w:marBottom w:val="0"/>
              <w:divBdr>
                <w:top w:val="none" w:sz="0" w:space="0" w:color="auto"/>
                <w:left w:val="none" w:sz="0" w:space="0" w:color="auto"/>
                <w:bottom w:val="none" w:sz="0" w:space="0" w:color="auto"/>
                <w:right w:val="none" w:sz="0" w:space="0" w:color="auto"/>
              </w:divBdr>
            </w:div>
          </w:divsChild>
        </w:div>
        <w:div w:id="1184326556">
          <w:marLeft w:val="0"/>
          <w:marRight w:val="0"/>
          <w:marTop w:val="0"/>
          <w:marBottom w:val="0"/>
          <w:divBdr>
            <w:top w:val="none" w:sz="0" w:space="0" w:color="auto"/>
            <w:left w:val="none" w:sz="0" w:space="0" w:color="auto"/>
            <w:bottom w:val="none" w:sz="0" w:space="0" w:color="auto"/>
            <w:right w:val="none" w:sz="0" w:space="0" w:color="auto"/>
          </w:divBdr>
          <w:divsChild>
            <w:div w:id="360131921">
              <w:marLeft w:val="0"/>
              <w:marRight w:val="0"/>
              <w:marTop w:val="0"/>
              <w:marBottom w:val="0"/>
              <w:divBdr>
                <w:top w:val="none" w:sz="0" w:space="0" w:color="auto"/>
                <w:left w:val="none" w:sz="0" w:space="0" w:color="auto"/>
                <w:bottom w:val="none" w:sz="0" w:space="0" w:color="auto"/>
                <w:right w:val="none" w:sz="0" w:space="0" w:color="auto"/>
              </w:divBdr>
            </w:div>
            <w:div w:id="8606167">
              <w:marLeft w:val="0"/>
              <w:marRight w:val="0"/>
              <w:marTop w:val="0"/>
              <w:marBottom w:val="0"/>
              <w:divBdr>
                <w:top w:val="none" w:sz="0" w:space="0" w:color="auto"/>
                <w:left w:val="none" w:sz="0" w:space="0" w:color="auto"/>
                <w:bottom w:val="none" w:sz="0" w:space="0" w:color="auto"/>
                <w:right w:val="none" w:sz="0" w:space="0" w:color="auto"/>
              </w:divBdr>
            </w:div>
            <w:div w:id="1260066438">
              <w:marLeft w:val="0"/>
              <w:marRight w:val="0"/>
              <w:marTop w:val="0"/>
              <w:marBottom w:val="0"/>
              <w:divBdr>
                <w:top w:val="none" w:sz="0" w:space="0" w:color="auto"/>
                <w:left w:val="none" w:sz="0" w:space="0" w:color="auto"/>
                <w:bottom w:val="none" w:sz="0" w:space="0" w:color="auto"/>
                <w:right w:val="none" w:sz="0" w:space="0" w:color="auto"/>
              </w:divBdr>
            </w:div>
            <w:div w:id="608506654">
              <w:marLeft w:val="0"/>
              <w:marRight w:val="0"/>
              <w:marTop w:val="0"/>
              <w:marBottom w:val="0"/>
              <w:divBdr>
                <w:top w:val="none" w:sz="0" w:space="0" w:color="auto"/>
                <w:left w:val="none" w:sz="0" w:space="0" w:color="auto"/>
                <w:bottom w:val="none" w:sz="0" w:space="0" w:color="auto"/>
                <w:right w:val="none" w:sz="0" w:space="0" w:color="auto"/>
              </w:divBdr>
            </w:div>
            <w:div w:id="2011251665">
              <w:marLeft w:val="0"/>
              <w:marRight w:val="0"/>
              <w:marTop w:val="0"/>
              <w:marBottom w:val="0"/>
              <w:divBdr>
                <w:top w:val="none" w:sz="0" w:space="0" w:color="auto"/>
                <w:left w:val="none" w:sz="0" w:space="0" w:color="auto"/>
                <w:bottom w:val="none" w:sz="0" w:space="0" w:color="auto"/>
                <w:right w:val="none" w:sz="0" w:space="0" w:color="auto"/>
              </w:divBdr>
            </w:div>
          </w:divsChild>
        </w:div>
        <w:div w:id="1640303585">
          <w:marLeft w:val="0"/>
          <w:marRight w:val="0"/>
          <w:marTop w:val="0"/>
          <w:marBottom w:val="0"/>
          <w:divBdr>
            <w:top w:val="none" w:sz="0" w:space="0" w:color="auto"/>
            <w:left w:val="none" w:sz="0" w:space="0" w:color="auto"/>
            <w:bottom w:val="none" w:sz="0" w:space="0" w:color="auto"/>
            <w:right w:val="none" w:sz="0" w:space="0" w:color="auto"/>
          </w:divBdr>
          <w:divsChild>
            <w:div w:id="1973515346">
              <w:marLeft w:val="0"/>
              <w:marRight w:val="0"/>
              <w:marTop w:val="0"/>
              <w:marBottom w:val="0"/>
              <w:divBdr>
                <w:top w:val="none" w:sz="0" w:space="0" w:color="auto"/>
                <w:left w:val="none" w:sz="0" w:space="0" w:color="auto"/>
                <w:bottom w:val="none" w:sz="0" w:space="0" w:color="auto"/>
                <w:right w:val="none" w:sz="0" w:space="0" w:color="auto"/>
              </w:divBdr>
            </w:div>
            <w:div w:id="446047085">
              <w:marLeft w:val="0"/>
              <w:marRight w:val="0"/>
              <w:marTop w:val="0"/>
              <w:marBottom w:val="0"/>
              <w:divBdr>
                <w:top w:val="none" w:sz="0" w:space="0" w:color="auto"/>
                <w:left w:val="none" w:sz="0" w:space="0" w:color="auto"/>
                <w:bottom w:val="none" w:sz="0" w:space="0" w:color="auto"/>
                <w:right w:val="none" w:sz="0" w:space="0" w:color="auto"/>
              </w:divBdr>
            </w:div>
            <w:div w:id="1841038990">
              <w:marLeft w:val="0"/>
              <w:marRight w:val="0"/>
              <w:marTop w:val="0"/>
              <w:marBottom w:val="0"/>
              <w:divBdr>
                <w:top w:val="none" w:sz="0" w:space="0" w:color="auto"/>
                <w:left w:val="none" w:sz="0" w:space="0" w:color="auto"/>
                <w:bottom w:val="none" w:sz="0" w:space="0" w:color="auto"/>
                <w:right w:val="none" w:sz="0" w:space="0" w:color="auto"/>
              </w:divBdr>
            </w:div>
            <w:div w:id="215165886">
              <w:marLeft w:val="0"/>
              <w:marRight w:val="0"/>
              <w:marTop w:val="0"/>
              <w:marBottom w:val="0"/>
              <w:divBdr>
                <w:top w:val="none" w:sz="0" w:space="0" w:color="auto"/>
                <w:left w:val="none" w:sz="0" w:space="0" w:color="auto"/>
                <w:bottom w:val="none" w:sz="0" w:space="0" w:color="auto"/>
                <w:right w:val="none" w:sz="0" w:space="0" w:color="auto"/>
              </w:divBdr>
            </w:div>
            <w:div w:id="498271695">
              <w:marLeft w:val="0"/>
              <w:marRight w:val="0"/>
              <w:marTop w:val="0"/>
              <w:marBottom w:val="0"/>
              <w:divBdr>
                <w:top w:val="none" w:sz="0" w:space="0" w:color="auto"/>
                <w:left w:val="none" w:sz="0" w:space="0" w:color="auto"/>
                <w:bottom w:val="none" w:sz="0" w:space="0" w:color="auto"/>
                <w:right w:val="none" w:sz="0" w:space="0" w:color="auto"/>
              </w:divBdr>
            </w:div>
          </w:divsChild>
        </w:div>
        <w:div w:id="1169910725">
          <w:marLeft w:val="0"/>
          <w:marRight w:val="0"/>
          <w:marTop w:val="0"/>
          <w:marBottom w:val="0"/>
          <w:divBdr>
            <w:top w:val="none" w:sz="0" w:space="0" w:color="auto"/>
            <w:left w:val="none" w:sz="0" w:space="0" w:color="auto"/>
            <w:bottom w:val="none" w:sz="0" w:space="0" w:color="auto"/>
            <w:right w:val="none" w:sz="0" w:space="0" w:color="auto"/>
          </w:divBdr>
          <w:divsChild>
            <w:div w:id="1654867753">
              <w:marLeft w:val="0"/>
              <w:marRight w:val="0"/>
              <w:marTop w:val="0"/>
              <w:marBottom w:val="0"/>
              <w:divBdr>
                <w:top w:val="none" w:sz="0" w:space="0" w:color="auto"/>
                <w:left w:val="none" w:sz="0" w:space="0" w:color="auto"/>
                <w:bottom w:val="none" w:sz="0" w:space="0" w:color="auto"/>
                <w:right w:val="none" w:sz="0" w:space="0" w:color="auto"/>
              </w:divBdr>
            </w:div>
            <w:div w:id="161118632">
              <w:marLeft w:val="0"/>
              <w:marRight w:val="0"/>
              <w:marTop w:val="0"/>
              <w:marBottom w:val="0"/>
              <w:divBdr>
                <w:top w:val="none" w:sz="0" w:space="0" w:color="auto"/>
                <w:left w:val="none" w:sz="0" w:space="0" w:color="auto"/>
                <w:bottom w:val="none" w:sz="0" w:space="0" w:color="auto"/>
                <w:right w:val="none" w:sz="0" w:space="0" w:color="auto"/>
              </w:divBdr>
            </w:div>
          </w:divsChild>
        </w:div>
        <w:div w:id="1244686784">
          <w:marLeft w:val="0"/>
          <w:marRight w:val="0"/>
          <w:marTop w:val="0"/>
          <w:marBottom w:val="0"/>
          <w:divBdr>
            <w:top w:val="none" w:sz="0" w:space="0" w:color="auto"/>
            <w:left w:val="none" w:sz="0" w:space="0" w:color="auto"/>
            <w:bottom w:val="none" w:sz="0" w:space="0" w:color="auto"/>
            <w:right w:val="none" w:sz="0" w:space="0" w:color="auto"/>
          </w:divBdr>
          <w:divsChild>
            <w:div w:id="1085566991">
              <w:marLeft w:val="0"/>
              <w:marRight w:val="0"/>
              <w:marTop w:val="0"/>
              <w:marBottom w:val="0"/>
              <w:divBdr>
                <w:top w:val="none" w:sz="0" w:space="0" w:color="auto"/>
                <w:left w:val="none" w:sz="0" w:space="0" w:color="auto"/>
                <w:bottom w:val="none" w:sz="0" w:space="0" w:color="auto"/>
                <w:right w:val="none" w:sz="0" w:space="0" w:color="auto"/>
              </w:divBdr>
            </w:div>
            <w:div w:id="327444611">
              <w:marLeft w:val="0"/>
              <w:marRight w:val="0"/>
              <w:marTop w:val="0"/>
              <w:marBottom w:val="0"/>
              <w:divBdr>
                <w:top w:val="none" w:sz="0" w:space="0" w:color="auto"/>
                <w:left w:val="none" w:sz="0" w:space="0" w:color="auto"/>
                <w:bottom w:val="none" w:sz="0" w:space="0" w:color="auto"/>
                <w:right w:val="none" w:sz="0" w:space="0" w:color="auto"/>
              </w:divBdr>
            </w:div>
            <w:div w:id="170143552">
              <w:marLeft w:val="0"/>
              <w:marRight w:val="0"/>
              <w:marTop w:val="0"/>
              <w:marBottom w:val="0"/>
              <w:divBdr>
                <w:top w:val="none" w:sz="0" w:space="0" w:color="auto"/>
                <w:left w:val="none" w:sz="0" w:space="0" w:color="auto"/>
                <w:bottom w:val="none" w:sz="0" w:space="0" w:color="auto"/>
                <w:right w:val="none" w:sz="0" w:space="0" w:color="auto"/>
              </w:divBdr>
            </w:div>
            <w:div w:id="761026695">
              <w:marLeft w:val="0"/>
              <w:marRight w:val="0"/>
              <w:marTop w:val="0"/>
              <w:marBottom w:val="0"/>
              <w:divBdr>
                <w:top w:val="none" w:sz="0" w:space="0" w:color="auto"/>
                <w:left w:val="none" w:sz="0" w:space="0" w:color="auto"/>
                <w:bottom w:val="none" w:sz="0" w:space="0" w:color="auto"/>
                <w:right w:val="none" w:sz="0" w:space="0" w:color="auto"/>
              </w:divBdr>
            </w:div>
          </w:divsChild>
        </w:div>
        <w:div w:id="400719238">
          <w:marLeft w:val="0"/>
          <w:marRight w:val="0"/>
          <w:marTop w:val="0"/>
          <w:marBottom w:val="0"/>
          <w:divBdr>
            <w:top w:val="none" w:sz="0" w:space="0" w:color="auto"/>
            <w:left w:val="none" w:sz="0" w:space="0" w:color="auto"/>
            <w:bottom w:val="none" w:sz="0" w:space="0" w:color="auto"/>
            <w:right w:val="none" w:sz="0" w:space="0" w:color="auto"/>
          </w:divBdr>
          <w:divsChild>
            <w:div w:id="462188744">
              <w:marLeft w:val="0"/>
              <w:marRight w:val="0"/>
              <w:marTop w:val="0"/>
              <w:marBottom w:val="0"/>
              <w:divBdr>
                <w:top w:val="none" w:sz="0" w:space="0" w:color="auto"/>
                <w:left w:val="none" w:sz="0" w:space="0" w:color="auto"/>
                <w:bottom w:val="none" w:sz="0" w:space="0" w:color="auto"/>
                <w:right w:val="none" w:sz="0" w:space="0" w:color="auto"/>
              </w:divBdr>
            </w:div>
            <w:div w:id="1702625939">
              <w:marLeft w:val="0"/>
              <w:marRight w:val="0"/>
              <w:marTop w:val="0"/>
              <w:marBottom w:val="0"/>
              <w:divBdr>
                <w:top w:val="none" w:sz="0" w:space="0" w:color="auto"/>
                <w:left w:val="none" w:sz="0" w:space="0" w:color="auto"/>
                <w:bottom w:val="none" w:sz="0" w:space="0" w:color="auto"/>
                <w:right w:val="none" w:sz="0" w:space="0" w:color="auto"/>
              </w:divBdr>
            </w:div>
            <w:div w:id="990401398">
              <w:marLeft w:val="0"/>
              <w:marRight w:val="0"/>
              <w:marTop w:val="0"/>
              <w:marBottom w:val="0"/>
              <w:divBdr>
                <w:top w:val="none" w:sz="0" w:space="0" w:color="auto"/>
                <w:left w:val="none" w:sz="0" w:space="0" w:color="auto"/>
                <w:bottom w:val="none" w:sz="0" w:space="0" w:color="auto"/>
                <w:right w:val="none" w:sz="0" w:space="0" w:color="auto"/>
              </w:divBdr>
            </w:div>
            <w:div w:id="1953198486">
              <w:marLeft w:val="0"/>
              <w:marRight w:val="0"/>
              <w:marTop w:val="0"/>
              <w:marBottom w:val="0"/>
              <w:divBdr>
                <w:top w:val="none" w:sz="0" w:space="0" w:color="auto"/>
                <w:left w:val="none" w:sz="0" w:space="0" w:color="auto"/>
                <w:bottom w:val="none" w:sz="0" w:space="0" w:color="auto"/>
                <w:right w:val="none" w:sz="0" w:space="0" w:color="auto"/>
              </w:divBdr>
            </w:div>
            <w:div w:id="899023676">
              <w:marLeft w:val="0"/>
              <w:marRight w:val="0"/>
              <w:marTop w:val="0"/>
              <w:marBottom w:val="0"/>
              <w:divBdr>
                <w:top w:val="none" w:sz="0" w:space="0" w:color="auto"/>
                <w:left w:val="none" w:sz="0" w:space="0" w:color="auto"/>
                <w:bottom w:val="none" w:sz="0" w:space="0" w:color="auto"/>
                <w:right w:val="none" w:sz="0" w:space="0" w:color="auto"/>
              </w:divBdr>
            </w:div>
          </w:divsChild>
        </w:div>
        <w:div w:id="966928485">
          <w:marLeft w:val="0"/>
          <w:marRight w:val="0"/>
          <w:marTop w:val="0"/>
          <w:marBottom w:val="0"/>
          <w:divBdr>
            <w:top w:val="none" w:sz="0" w:space="0" w:color="auto"/>
            <w:left w:val="none" w:sz="0" w:space="0" w:color="auto"/>
            <w:bottom w:val="none" w:sz="0" w:space="0" w:color="auto"/>
            <w:right w:val="none" w:sz="0" w:space="0" w:color="auto"/>
          </w:divBdr>
        </w:div>
        <w:div w:id="1342274893">
          <w:marLeft w:val="0"/>
          <w:marRight w:val="0"/>
          <w:marTop w:val="0"/>
          <w:marBottom w:val="0"/>
          <w:divBdr>
            <w:top w:val="none" w:sz="0" w:space="0" w:color="auto"/>
            <w:left w:val="none" w:sz="0" w:space="0" w:color="auto"/>
            <w:bottom w:val="none" w:sz="0" w:space="0" w:color="auto"/>
            <w:right w:val="none" w:sz="0" w:space="0" w:color="auto"/>
          </w:divBdr>
        </w:div>
        <w:div w:id="282659304">
          <w:marLeft w:val="0"/>
          <w:marRight w:val="0"/>
          <w:marTop w:val="0"/>
          <w:marBottom w:val="0"/>
          <w:divBdr>
            <w:top w:val="none" w:sz="0" w:space="0" w:color="auto"/>
            <w:left w:val="none" w:sz="0" w:space="0" w:color="auto"/>
            <w:bottom w:val="none" w:sz="0" w:space="0" w:color="auto"/>
            <w:right w:val="none" w:sz="0" w:space="0" w:color="auto"/>
          </w:divBdr>
        </w:div>
        <w:div w:id="559633576">
          <w:marLeft w:val="0"/>
          <w:marRight w:val="0"/>
          <w:marTop w:val="0"/>
          <w:marBottom w:val="0"/>
          <w:divBdr>
            <w:top w:val="none" w:sz="0" w:space="0" w:color="auto"/>
            <w:left w:val="none" w:sz="0" w:space="0" w:color="auto"/>
            <w:bottom w:val="none" w:sz="0" w:space="0" w:color="auto"/>
            <w:right w:val="none" w:sz="0" w:space="0" w:color="auto"/>
          </w:divBdr>
        </w:div>
      </w:divsChild>
    </w:div>
    <w:div w:id="1840536852">
      <w:bodyDiv w:val="1"/>
      <w:marLeft w:val="0"/>
      <w:marRight w:val="0"/>
      <w:marTop w:val="0"/>
      <w:marBottom w:val="0"/>
      <w:divBdr>
        <w:top w:val="none" w:sz="0" w:space="0" w:color="auto"/>
        <w:left w:val="none" w:sz="0" w:space="0" w:color="auto"/>
        <w:bottom w:val="none" w:sz="0" w:space="0" w:color="auto"/>
        <w:right w:val="none" w:sz="0" w:space="0" w:color="auto"/>
      </w:divBdr>
      <w:divsChild>
        <w:div w:id="1825730776">
          <w:marLeft w:val="446"/>
          <w:marRight w:val="0"/>
          <w:marTop w:val="0"/>
          <w:marBottom w:val="200"/>
          <w:divBdr>
            <w:top w:val="none" w:sz="0" w:space="0" w:color="auto"/>
            <w:left w:val="none" w:sz="0" w:space="0" w:color="auto"/>
            <w:bottom w:val="none" w:sz="0" w:space="0" w:color="auto"/>
            <w:right w:val="none" w:sz="0" w:space="0" w:color="auto"/>
          </w:divBdr>
        </w:div>
        <w:div w:id="290207771">
          <w:marLeft w:val="446"/>
          <w:marRight w:val="0"/>
          <w:marTop w:val="0"/>
          <w:marBottom w:val="200"/>
          <w:divBdr>
            <w:top w:val="none" w:sz="0" w:space="0" w:color="auto"/>
            <w:left w:val="none" w:sz="0" w:space="0" w:color="auto"/>
            <w:bottom w:val="none" w:sz="0" w:space="0" w:color="auto"/>
            <w:right w:val="none" w:sz="0" w:space="0" w:color="auto"/>
          </w:divBdr>
        </w:div>
        <w:div w:id="762914803">
          <w:marLeft w:val="446"/>
          <w:marRight w:val="0"/>
          <w:marTop w:val="0"/>
          <w:marBottom w:val="200"/>
          <w:divBdr>
            <w:top w:val="none" w:sz="0" w:space="0" w:color="auto"/>
            <w:left w:val="none" w:sz="0" w:space="0" w:color="auto"/>
            <w:bottom w:val="none" w:sz="0" w:space="0" w:color="auto"/>
            <w:right w:val="none" w:sz="0" w:space="0" w:color="auto"/>
          </w:divBdr>
        </w:div>
        <w:div w:id="1552960636">
          <w:marLeft w:val="446"/>
          <w:marRight w:val="0"/>
          <w:marTop w:val="0"/>
          <w:marBottom w:val="200"/>
          <w:divBdr>
            <w:top w:val="none" w:sz="0" w:space="0" w:color="auto"/>
            <w:left w:val="none" w:sz="0" w:space="0" w:color="auto"/>
            <w:bottom w:val="none" w:sz="0" w:space="0" w:color="auto"/>
            <w:right w:val="none" w:sz="0" w:space="0" w:color="auto"/>
          </w:divBdr>
        </w:div>
        <w:div w:id="1834295004">
          <w:marLeft w:val="446"/>
          <w:marRight w:val="0"/>
          <w:marTop w:val="0"/>
          <w:marBottom w:val="200"/>
          <w:divBdr>
            <w:top w:val="none" w:sz="0" w:space="0" w:color="auto"/>
            <w:left w:val="none" w:sz="0" w:space="0" w:color="auto"/>
            <w:bottom w:val="none" w:sz="0" w:space="0" w:color="auto"/>
            <w:right w:val="none" w:sz="0" w:space="0" w:color="auto"/>
          </w:divBdr>
        </w:div>
      </w:divsChild>
    </w:div>
    <w:div w:id="1863863196">
      <w:bodyDiv w:val="1"/>
      <w:marLeft w:val="0"/>
      <w:marRight w:val="0"/>
      <w:marTop w:val="0"/>
      <w:marBottom w:val="0"/>
      <w:divBdr>
        <w:top w:val="none" w:sz="0" w:space="0" w:color="auto"/>
        <w:left w:val="none" w:sz="0" w:space="0" w:color="auto"/>
        <w:bottom w:val="none" w:sz="0" w:space="0" w:color="auto"/>
        <w:right w:val="none" w:sz="0" w:space="0" w:color="auto"/>
      </w:divBdr>
    </w:div>
    <w:div w:id="1930115379">
      <w:bodyDiv w:val="1"/>
      <w:marLeft w:val="0"/>
      <w:marRight w:val="0"/>
      <w:marTop w:val="0"/>
      <w:marBottom w:val="0"/>
      <w:divBdr>
        <w:top w:val="none" w:sz="0" w:space="0" w:color="auto"/>
        <w:left w:val="none" w:sz="0" w:space="0" w:color="auto"/>
        <w:bottom w:val="none" w:sz="0" w:space="0" w:color="auto"/>
        <w:right w:val="none" w:sz="0" w:space="0" w:color="auto"/>
      </w:divBdr>
      <w:divsChild>
        <w:div w:id="150609732">
          <w:marLeft w:val="446"/>
          <w:marRight w:val="0"/>
          <w:marTop w:val="200"/>
          <w:marBottom w:val="0"/>
          <w:divBdr>
            <w:top w:val="none" w:sz="0" w:space="0" w:color="auto"/>
            <w:left w:val="none" w:sz="0" w:space="0" w:color="auto"/>
            <w:bottom w:val="none" w:sz="0" w:space="0" w:color="auto"/>
            <w:right w:val="none" w:sz="0" w:space="0" w:color="auto"/>
          </w:divBdr>
        </w:div>
      </w:divsChild>
    </w:div>
    <w:div w:id="199013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ascopubs.org/doi/abs/10.1200/jgo.18.11200" TargetMode="External"/><Relationship Id="rId13" Type="http://schemas.openxmlformats.org/officeDocument/2006/relationships/hyperlink" Target="https://pubmed.ncbi.nlm.nih.gov/18345371/" TargetMode="External"/><Relationship Id="rId3" Type="http://schemas.openxmlformats.org/officeDocument/2006/relationships/hyperlink" Target="https://www.aihw.gov.au/reports/cancer-screening/breastcancer-outcomes-screening-behaviour-programs/summary" TargetMode="External"/><Relationship Id="rId7" Type="http://schemas.openxmlformats.org/officeDocument/2006/relationships/hyperlink" Target="https://digitallibrary.health.nt.gov.au/prodjspui/handle/10137/8496" TargetMode="External"/><Relationship Id="rId12" Type="http://schemas.openxmlformats.org/officeDocument/2006/relationships/hyperlink" Target="https://www.ncbi.nlm.nih.gov/pmc/articles/PMC8788241/" TargetMode="External"/><Relationship Id="rId2" Type="http://schemas.openxmlformats.org/officeDocument/2006/relationships/hyperlink" Target="https://pubmed.ncbi.nlm.nih.gov/22502658/" TargetMode="External"/><Relationship Id="rId16" Type="http://schemas.openxmlformats.org/officeDocument/2006/relationships/hyperlink" Target="https://healthbulletin.org.au/articles/review-of-cancer-2018/" TargetMode="External"/><Relationship Id="rId1" Type="http://schemas.openxmlformats.org/officeDocument/2006/relationships/hyperlink" Target="https://www.aihw.gov.au/reports/cancer-screening/breastscreen-australia-monitoring-report-2023/summary" TargetMode="External"/><Relationship Id="rId6" Type="http://schemas.openxmlformats.org/officeDocument/2006/relationships/hyperlink" Target="https://ro.ecu.edu.au/ecuworkspost2013/5513/" TargetMode="External"/><Relationship Id="rId11" Type="http://schemas.openxmlformats.org/officeDocument/2006/relationships/hyperlink" Target="https://pubmed.ncbi.nlm.nih.gov/31049670/" TargetMode="External"/><Relationship Id="rId5" Type="http://schemas.openxmlformats.org/officeDocument/2006/relationships/hyperlink" Target="https://pubmed.ncbi.nlm.nih.gov/11109689/" TargetMode="External"/><Relationship Id="rId15" Type="http://schemas.openxmlformats.org/officeDocument/2006/relationships/hyperlink" Target="https://www.cancer.org.au/assets/pdf/optimal-care-pathway-for-aboriginal-and-torres-strait-islander-people-with-cancer" TargetMode="External"/><Relationship Id="rId10" Type="http://schemas.openxmlformats.org/officeDocument/2006/relationships/hyperlink" Target="https://pubmed.ncbi.nlm.nih.gov/28893225/" TargetMode="External"/><Relationship Id="rId4" Type="http://schemas.openxmlformats.org/officeDocument/2006/relationships/hyperlink" Target="https://www.health.qld.gov.au/public-health/groups/atsihealth/making-tracks-together-queenslands-atsi-health-equity-framework" TargetMode="External"/><Relationship Id="rId9" Type="http://schemas.openxmlformats.org/officeDocument/2006/relationships/hyperlink" Target="https://www.ncbi.nlm.nih.gov/pmc/articles/PMC8200222/" TargetMode="External"/><Relationship Id="rId14" Type="http://schemas.openxmlformats.org/officeDocument/2006/relationships/hyperlink" Target="https://www.cancer.org.au/assets/pdf/submission-to-the-department-of-health-on-the-social-and-cultural-determinants-of-indigenous-heal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6c47f2-751a-4675-bbfd-d3651947ad3c">
      <Terms xmlns="http://schemas.microsoft.com/office/infopath/2007/PartnerControls"/>
    </lcf76f155ced4ddcb4097134ff3c332f>
    <TaxCatchAll xmlns="df831ba1-9547-46fc-ab25-08159787f81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30EE3106168D4BBF72DDB9F60A4F9B" ma:contentTypeVersion="10" ma:contentTypeDescription="Create a new document." ma:contentTypeScope="" ma:versionID="59a0396632563b2f9aac70911cd279d3">
  <xsd:schema xmlns:xsd="http://www.w3.org/2001/XMLSchema" xmlns:xs="http://www.w3.org/2001/XMLSchema" xmlns:p="http://schemas.microsoft.com/office/2006/metadata/properties" xmlns:ns2="b26c47f2-751a-4675-bbfd-d3651947ad3c" xmlns:ns3="df831ba1-9547-46fc-ab25-08159787f814" targetNamespace="http://schemas.microsoft.com/office/2006/metadata/properties" ma:root="true" ma:fieldsID="b2cb7f89e832de6802d7577d40acac02" ns2:_="" ns3:_="">
    <xsd:import namespace="b26c47f2-751a-4675-bbfd-d3651947ad3c"/>
    <xsd:import namespace="df831ba1-9547-46fc-ab25-08159787f8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c47f2-751a-4675-bbfd-d3651947ad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9669eca-bf1c-46e9-8d03-1bf51cfc5d2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31ba1-9547-46fc-ab25-08159787f81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af8afbb-462b-4f30-92db-49a72bcd206e}" ma:internalName="TaxCatchAll" ma:showField="CatchAllData" ma:web="df831ba1-9547-46fc-ab25-08159787f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87A458-5FB7-4715-831C-0C84307A4923}">
  <ds:schemaRefs>
    <ds:schemaRef ds:uri="http://schemas.microsoft.com/office/2006/metadata/properties"/>
    <ds:schemaRef ds:uri="http://schemas.microsoft.com/office/infopath/2007/PartnerControls"/>
    <ds:schemaRef ds:uri="b26c47f2-751a-4675-bbfd-d3651947ad3c"/>
    <ds:schemaRef ds:uri="df831ba1-9547-46fc-ab25-08159787f814"/>
  </ds:schemaRefs>
</ds:datastoreItem>
</file>

<file path=customXml/itemProps2.xml><?xml version="1.0" encoding="utf-8"?>
<ds:datastoreItem xmlns:ds="http://schemas.openxmlformats.org/officeDocument/2006/customXml" ds:itemID="{084054D3-8296-49A3-B566-02B267384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c47f2-751a-4675-bbfd-d3651947ad3c"/>
    <ds:schemaRef ds:uri="df831ba1-9547-46fc-ab25-08159787f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872F0-9CEB-44A4-B6B5-D119EC55B285}">
  <ds:schemaRefs>
    <ds:schemaRef ds:uri="http://schemas.openxmlformats.org/officeDocument/2006/bibliography"/>
  </ds:schemaRefs>
</ds:datastoreItem>
</file>

<file path=customXml/itemProps4.xml><?xml version="1.0" encoding="utf-8"?>
<ds:datastoreItem xmlns:ds="http://schemas.openxmlformats.org/officeDocument/2006/customXml" ds:itemID="{6110B1EB-CA9F-43AC-AF1A-7900FA746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Butterfield</dc:creator>
  <cp:keywords/>
  <dc:description/>
  <cp:lastModifiedBy>Samantha Townsend</cp:lastModifiedBy>
  <cp:revision>3</cp:revision>
  <dcterms:created xsi:type="dcterms:W3CDTF">2024-04-14T23:02:00Z</dcterms:created>
  <dcterms:modified xsi:type="dcterms:W3CDTF">2024-04-14T23:09:00Z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f2a4bd66-1a3f-4b47-b0a8-de9618562cc0</vt:lpwstr>
  </property>
  <property fmtid="{D5CDD505-2E9C-101B-9397-08002B2CF9AE}" pid="3" name="ContentTypeId">
    <vt:lpwstr>0x0101002330EE3106168D4BBF72DDB9F60A4F9B</vt:lpwstr>
  </property>
</Properties>
</file>